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F1C" w:rsidRDefault="00F55F1C" w:rsidP="00F55F1C">
      <w:pPr>
        <w:rPr>
          <w:rFonts w:ascii="黑体" w:eastAsia="黑体"/>
          <w:sz w:val="32"/>
          <w:szCs w:val="32"/>
        </w:rPr>
      </w:pPr>
      <w:r w:rsidRPr="00AD62AD">
        <w:rPr>
          <w:rFonts w:ascii="黑体" w:eastAsia="黑体" w:hint="eastAsia"/>
          <w:sz w:val="32"/>
          <w:szCs w:val="32"/>
        </w:rPr>
        <w:t>附件</w:t>
      </w:r>
    </w:p>
    <w:p w:rsidR="00F55F1C" w:rsidRDefault="00F55F1C" w:rsidP="00F55F1C">
      <w:pPr>
        <w:rPr>
          <w:rFonts w:ascii="黑体" w:eastAsia="黑体"/>
          <w:sz w:val="32"/>
          <w:szCs w:val="32"/>
        </w:rPr>
      </w:pPr>
    </w:p>
    <w:p w:rsidR="00F55F1C" w:rsidRDefault="00F55F1C" w:rsidP="00F55F1C">
      <w:pPr>
        <w:spacing w:line="640" w:lineRule="exact"/>
        <w:jc w:val="center"/>
        <w:rPr>
          <w:rFonts w:ascii="方正小标宋简体" w:eastAsia="方正小标宋简体" w:hAnsi="宋体"/>
          <w:sz w:val="44"/>
          <w:szCs w:val="44"/>
        </w:rPr>
      </w:pPr>
      <w:r w:rsidRPr="00EF3B16">
        <w:rPr>
          <w:rFonts w:ascii="方正小标宋简体" w:eastAsia="方正小标宋简体" w:hAnsi="宋体" w:hint="eastAsia"/>
          <w:sz w:val="44"/>
          <w:szCs w:val="44"/>
        </w:rPr>
        <w:t>化学药品注射剂与药用玻璃包装容器相容性</w:t>
      </w:r>
    </w:p>
    <w:p w:rsidR="00F55F1C" w:rsidRPr="00EF3B16" w:rsidRDefault="00F55F1C" w:rsidP="00F55F1C">
      <w:pPr>
        <w:spacing w:line="640" w:lineRule="exact"/>
        <w:jc w:val="center"/>
        <w:rPr>
          <w:rFonts w:ascii="方正小标宋简体" w:eastAsia="方正小标宋简体"/>
          <w:sz w:val="44"/>
          <w:szCs w:val="44"/>
        </w:rPr>
      </w:pPr>
      <w:r w:rsidRPr="00EF3B16">
        <w:rPr>
          <w:rFonts w:ascii="方正小标宋简体" w:eastAsia="方正小标宋简体" w:hAnsi="宋体" w:hint="eastAsia"/>
          <w:sz w:val="44"/>
          <w:szCs w:val="44"/>
        </w:rPr>
        <w:t>研究技术指导原则</w:t>
      </w:r>
      <w:r w:rsidRPr="00EF3B16">
        <w:rPr>
          <w:rFonts w:ascii="方正小标宋简体" w:eastAsia="方正小标宋简体" w:hAnsi="宋体" w:hint="eastAsia"/>
          <w:spacing w:val="-20"/>
          <w:sz w:val="44"/>
          <w:szCs w:val="44"/>
        </w:rPr>
        <w:t>（试行）</w:t>
      </w:r>
    </w:p>
    <w:p w:rsidR="00F55F1C" w:rsidRPr="003D55AA" w:rsidRDefault="00F55F1C" w:rsidP="00F55F1C">
      <w:pPr>
        <w:spacing w:line="360" w:lineRule="auto"/>
        <w:jc w:val="center"/>
        <w:rPr>
          <w:rFonts w:ascii="宋体"/>
          <w:b/>
          <w:sz w:val="44"/>
          <w:szCs w:val="44"/>
        </w:rPr>
      </w:pPr>
    </w:p>
    <w:p w:rsidR="00F55F1C" w:rsidRPr="0014509E" w:rsidRDefault="00F55F1C" w:rsidP="00F55F1C">
      <w:pPr>
        <w:autoSpaceDE w:val="0"/>
        <w:autoSpaceDN w:val="0"/>
        <w:adjustRightInd w:val="0"/>
        <w:snapToGrid w:val="0"/>
        <w:spacing w:line="640" w:lineRule="exact"/>
        <w:outlineLvl w:val="0"/>
        <w:rPr>
          <w:rFonts w:ascii="黑体" w:eastAsia="黑体" w:hAnsi="黑体" w:cs="华文仿宋"/>
          <w:kern w:val="0"/>
          <w:sz w:val="32"/>
          <w:szCs w:val="32"/>
        </w:rPr>
      </w:pPr>
      <w:r>
        <w:rPr>
          <w:rFonts w:ascii="宋体" w:cs="华文仿宋" w:hint="eastAsia"/>
          <w:b/>
          <w:kern w:val="0"/>
          <w:sz w:val="28"/>
          <w:szCs w:val="28"/>
        </w:rPr>
        <w:t xml:space="preserve">    </w:t>
      </w:r>
      <w:r w:rsidRPr="0014509E">
        <w:rPr>
          <w:rFonts w:ascii="黑体" w:eastAsia="黑体" w:hAnsi="黑体" w:cs="华文仿宋" w:hint="eastAsia"/>
          <w:kern w:val="0"/>
          <w:sz w:val="32"/>
          <w:szCs w:val="32"/>
        </w:rPr>
        <w:t>一、概述</w:t>
      </w:r>
    </w:p>
    <w:p w:rsidR="00F55F1C" w:rsidRPr="00457BA9" w:rsidRDefault="00F55F1C" w:rsidP="00F55F1C">
      <w:pPr>
        <w:pStyle w:val="a5"/>
        <w:adjustRightInd w:val="0"/>
        <w:snapToGrid w:val="0"/>
        <w:spacing w:line="620" w:lineRule="exact"/>
        <w:ind w:firstLineChars="200" w:firstLine="640"/>
        <w:jc w:val="both"/>
        <w:rPr>
          <w:rFonts w:eastAsia="仿宋_GB2312"/>
          <w:sz w:val="32"/>
          <w:szCs w:val="32"/>
          <w:lang w:eastAsia="zh-CN"/>
        </w:rPr>
      </w:pPr>
      <w:r w:rsidRPr="00457BA9" w:rsidDel="003A7D6A">
        <w:rPr>
          <w:rFonts w:eastAsia="仿宋_GB2312"/>
          <w:sz w:val="32"/>
          <w:szCs w:val="32"/>
          <w:lang w:eastAsia="zh-CN"/>
        </w:rPr>
        <w:t>本指导原则主要针对</w:t>
      </w:r>
      <w:r w:rsidRPr="00457BA9">
        <w:rPr>
          <w:rFonts w:eastAsia="仿宋_GB2312"/>
          <w:sz w:val="32"/>
          <w:szCs w:val="32"/>
          <w:lang w:eastAsia="zh-CN"/>
        </w:rPr>
        <w:t>注射剂与玻璃包装容器的相容性研究进行阐述，旨在指导药品研发及生产企业系统、规范地进行药品与玻璃包装容器的相容性研究，在药品研发期间对药用玻璃（以下简称玻璃）包装容器进行选择，并在整个研发过程中对化学药品注射剂包装系统的适用性进行确认，最终选择和使用与药品具有良好相容性的玻璃包装容器，避免因药用包装容器可能导致的安全性风险。</w:t>
      </w:r>
    </w:p>
    <w:p w:rsidR="00F55F1C" w:rsidRPr="00457BA9" w:rsidRDefault="00F55F1C" w:rsidP="00F55F1C">
      <w:pPr>
        <w:pStyle w:val="a5"/>
        <w:adjustRightInd w:val="0"/>
        <w:snapToGrid w:val="0"/>
        <w:spacing w:line="620" w:lineRule="exact"/>
        <w:ind w:firstLineChars="200" w:firstLine="624"/>
        <w:jc w:val="both"/>
        <w:rPr>
          <w:rFonts w:eastAsia="仿宋_GB2312"/>
          <w:snapToGrid w:val="0"/>
          <w:spacing w:val="-4"/>
          <w:sz w:val="32"/>
          <w:szCs w:val="32"/>
          <w:lang w:eastAsia="zh-CN"/>
        </w:rPr>
      </w:pPr>
      <w:r w:rsidRPr="00457BA9">
        <w:rPr>
          <w:rFonts w:eastAsia="仿宋_GB2312"/>
          <w:spacing w:val="-4"/>
          <w:sz w:val="32"/>
          <w:szCs w:val="32"/>
          <w:lang w:eastAsia="zh-CN"/>
        </w:rPr>
        <w:t>本指导原则是在现行法规和标准体系以及当前认知水平下制定的，遵循了《直接接触药品的</w:t>
      </w:r>
      <w:r w:rsidRPr="00457BA9">
        <w:rPr>
          <w:rFonts w:eastAsia="仿宋_GB2312"/>
          <w:color w:val="000000"/>
          <w:spacing w:val="-4"/>
          <w:sz w:val="32"/>
          <w:szCs w:val="32"/>
          <w:lang w:eastAsia="zh-CN"/>
        </w:rPr>
        <w:t>包装材料和容器管理办法》（</w:t>
      </w:r>
      <w:r w:rsidRPr="00457BA9">
        <w:rPr>
          <w:rFonts w:eastAsia="仿宋_GB2312"/>
          <w:spacing w:val="-4"/>
          <w:sz w:val="32"/>
          <w:szCs w:val="32"/>
          <w:lang w:eastAsia="zh-CN"/>
        </w:rPr>
        <w:t>国家食品药品监督管理</w:t>
      </w:r>
      <w:r w:rsidRPr="00457BA9">
        <w:rPr>
          <w:rFonts w:eastAsia="仿宋_GB2312"/>
          <w:color w:val="000000"/>
          <w:spacing w:val="-4"/>
          <w:sz w:val="32"/>
          <w:szCs w:val="32"/>
          <w:lang w:eastAsia="zh-CN"/>
        </w:rPr>
        <w:t>局令第</w:t>
      </w:r>
      <w:r w:rsidRPr="00457BA9">
        <w:rPr>
          <w:rFonts w:eastAsia="仿宋_GB2312"/>
          <w:color w:val="000000"/>
          <w:spacing w:val="-4"/>
          <w:sz w:val="32"/>
          <w:szCs w:val="32"/>
          <w:lang w:eastAsia="zh-CN"/>
        </w:rPr>
        <w:t>13</w:t>
      </w:r>
      <w:r w:rsidRPr="00457BA9">
        <w:rPr>
          <w:rFonts w:eastAsia="仿宋_GB2312"/>
          <w:color w:val="000000"/>
          <w:spacing w:val="-4"/>
          <w:sz w:val="32"/>
          <w:szCs w:val="32"/>
          <w:lang w:eastAsia="zh-CN"/>
        </w:rPr>
        <w:t>号），沿用</w:t>
      </w:r>
      <w:r w:rsidRPr="00457BA9">
        <w:rPr>
          <w:rFonts w:eastAsia="仿宋_GB2312"/>
          <w:color w:val="000000"/>
          <w:spacing w:val="-4"/>
          <w:sz w:val="32"/>
          <w:szCs w:val="32"/>
          <w:lang w:eastAsia="zh-CN"/>
        </w:rPr>
        <w:t>/</w:t>
      </w:r>
      <w:proofErr w:type="spellStart"/>
      <w:r w:rsidRPr="00457BA9">
        <w:rPr>
          <w:rFonts w:eastAsia="仿宋_GB2312"/>
          <w:color w:val="000000"/>
          <w:spacing w:val="-4"/>
          <w:sz w:val="32"/>
          <w:szCs w:val="32"/>
          <w:lang w:eastAsia="zh-CN"/>
        </w:rPr>
        <w:t>参考了原国家食品药品监督管理局</w:t>
      </w:r>
      <w:r w:rsidRPr="00457BA9">
        <w:rPr>
          <w:rFonts w:eastAsia="仿宋_GB2312"/>
          <w:spacing w:val="-4"/>
          <w:sz w:val="32"/>
          <w:szCs w:val="32"/>
          <w:lang w:eastAsia="zh-CN"/>
        </w:rPr>
        <w:t>发布的《化学药品注射剂与塑料包装材料相容性研究技术指导原则</w:t>
      </w:r>
      <w:proofErr w:type="spellEnd"/>
      <w:r w:rsidRPr="00457BA9">
        <w:rPr>
          <w:rFonts w:eastAsia="仿宋_GB2312"/>
          <w:spacing w:val="-4"/>
          <w:sz w:val="32"/>
          <w:szCs w:val="32"/>
          <w:lang w:eastAsia="zh-CN"/>
        </w:rPr>
        <w:t>（试行）》（国</w:t>
      </w:r>
      <w:proofErr w:type="gramStart"/>
      <w:r w:rsidRPr="00457BA9">
        <w:rPr>
          <w:rFonts w:eastAsia="仿宋_GB2312"/>
          <w:spacing w:val="-4"/>
          <w:sz w:val="32"/>
          <w:szCs w:val="32"/>
          <w:lang w:eastAsia="zh-CN"/>
        </w:rPr>
        <w:t>食药监注〔</w:t>
      </w:r>
      <w:r w:rsidRPr="00457BA9">
        <w:rPr>
          <w:rFonts w:eastAsia="仿宋_GB2312"/>
          <w:spacing w:val="-4"/>
          <w:sz w:val="32"/>
          <w:szCs w:val="32"/>
          <w:lang w:eastAsia="zh-CN"/>
        </w:rPr>
        <w:t>2012</w:t>
      </w:r>
      <w:r w:rsidRPr="00457BA9">
        <w:rPr>
          <w:rFonts w:eastAsia="仿宋_GB2312"/>
          <w:spacing w:val="-4"/>
          <w:sz w:val="32"/>
          <w:szCs w:val="32"/>
          <w:lang w:eastAsia="zh-CN"/>
        </w:rPr>
        <w:t>〕</w:t>
      </w:r>
      <w:proofErr w:type="gramEnd"/>
      <w:r w:rsidRPr="00457BA9">
        <w:rPr>
          <w:rFonts w:eastAsia="仿宋_GB2312"/>
          <w:spacing w:val="-4"/>
          <w:sz w:val="32"/>
          <w:szCs w:val="32"/>
          <w:lang w:eastAsia="zh-CN"/>
        </w:rPr>
        <w:t>267</w:t>
      </w:r>
      <w:r w:rsidRPr="00457BA9">
        <w:rPr>
          <w:rFonts w:eastAsia="仿宋_GB2312"/>
          <w:spacing w:val="-4"/>
          <w:sz w:val="32"/>
          <w:szCs w:val="32"/>
          <w:lang w:eastAsia="zh-CN"/>
        </w:rPr>
        <w:t>号）的思路，借鉴了国内外相关的指导原则及有关专著，重点突出了注射剂与玻璃包装容器相关的相容性研究内容。</w:t>
      </w:r>
      <w:r w:rsidRPr="00457BA9">
        <w:rPr>
          <w:rFonts w:eastAsia="仿宋_GB2312"/>
          <w:snapToGrid w:val="0"/>
          <w:spacing w:val="-4"/>
          <w:sz w:val="32"/>
          <w:szCs w:val="32"/>
          <w:lang w:eastAsia="zh-CN"/>
        </w:rPr>
        <w:t>随着相关法规的不断完善以及药物研究技术要求的提高，</w:t>
      </w:r>
      <w:r w:rsidRPr="00457BA9">
        <w:rPr>
          <w:rFonts w:eastAsia="仿宋_GB2312"/>
          <w:spacing w:val="-4"/>
          <w:sz w:val="32"/>
          <w:szCs w:val="32"/>
          <w:lang w:eastAsia="zh-CN"/>
        </w:rPr>
        <w:t>本指导原则将</w:t>
      </w:r>
      <w:r w:rsidRPr="00457BA9">
        <w:rPr>
          <w:rFonts w:eastAsia="仿宋_GB2312"/>
          <w:snapToGrid w:val="0"/>
          <w:spacing w:val="-4"/>
          <w:sz w:val="32"/>
          <w:szCs w:val="32"/>
          <w:lang w:eastAsia="zh-CN"/>
        </w:rPr>
        <w:t>不断修订并完善。</w:t>
      </w:r>
    </w:p>
    <w:p w:rsidR="00F55F1C" w:rsidRPr="00457BA9" w:rsidRDefault="00F55F1C" w:rsidP="00F55F1C">
      <w:pPr>
        <w:adjustRightInd w:val="0"/>
        <w:snapToGrid w:val="0"/>
        <w:spacing w:line="620" w:lineRule="exact"/>
        <w:ind w:firstLineChars="200" w:firstLine="640"/>
        <w:rPr>
          <w:rFonts w:eastAsia="仿宋_GB2312"/>
          <w:sz w:val="32"/>
          <w:szCs w:val="32"/>
        </w:rPr>
      </w:pPr>
      <w:r w:rsidRPr="00457BA9">
        <w:rPr>
          <w:rFonts w:eastAsia="仿宋_GB2312"/>
          <w:sz w:val="32"/>
          <w:szCs w:val="32"/>
        </w:rPr>
        <w:lastRenderedPageBreak/>
        <w:t>本指导原则主要阐述了注射剂与玻璃包装容器的相容性研究，其他剂型与玻璃包装容器的相容性研究不在本指导原则中详述，另外，玻璃包装容器常与胶塞等组件配合使用，药品研发及生产企业可参照相关指导原则的基本思路，开展制剂与玻璃包装容器其他组件及材料（如胶塞等）的相容性研究。</w:t>
      </w:r>
    </w:p>
    <w:p w:rsidR="00F55F1C" w:rsidRPr="00457BA9" w:rsidRDefault="00F55F1C" w:rsidP="00F55F1C">
      <w:pPr>
        <w:adjustRightInd w:val="0"/>
        <w:snapToGrid w:val="0"/>
        <w:spacing w:line="620" w:lineRule="exact"/>
        <w:ind w:firstLineChars="200" w:firstLine="640"/>
        <w:rPr>
          <w:rFonts w:eastAsia="仿宋_GB2312"/>
          <w:kern w:val="0"/>
          <w:sz w:val="32"/>
          <w:szCs w:val="32"/>
        </w:rPr>
      </w:pPr>
      <w:r w:rsidRPr="00457BA9">
        <w:rPr>
          <w:rFonts w:eastAsia="仿宋_GB2312"/>
          <w:kern w:val="0"/>
          <w:sz w:val="32"/>
          <w:szCs w:val="32"/>
        </w:rPr>
        <w:t>本指导原则是基于目前认知的考虑，其他方法如经验证科学合理也可采用。</w:t>
      </w:r>
    </w:p>
    <w:p w:rsidR="00F55F1C" w:rsidRPr="0014509E" w:rsidRDefault="00F55F1C" w:rsidP="00F55F1C">
      <w:pPr>
        <w:autoSpaceDE w:val="0"/>
        <w:autoSpaceDN w:val="0"/>
        <w:adjustRightInd w:val="0"/>
        <w:snapToGrid w:val="0"/>
        <w:spacing w:line="620" w:lineRule="exact"/>
        <w:ind w:firstLineChars="200" w:firstLine="640"/>
        <w:outlineLvl w:val="0"/>
        <w:rPr>
          <w:rFonts w:ascii="黑体" w:eastAsia="黑体" w:hAnsi="黑体" w:cs="华文仿宋"/>
          <w:kern w:val="0"/>
          <w:sz w:val="32"/>
          <w:szCs w:val="32"/>
        </w:rPr>
      </w:pPr>
      <w:r w:rsidRPr="0014509E">
        <w:rPr>
          <w:rFonts w:ascii="黑体" w:eastAsia="黑体" w:hAnsi="黑体" w:cs="华文仿宋" w:hint="eastAsia"/>
          <w:kern w:val="0"/>
          <w:sz w:val="32"/>
          <w:szCs w:val="32"/>
        </w:rPr>
        <w:t>二、</w:t>
      </w:r>
      <w:r w:rsidRPr="0014509E">
        <w:rPr>
          <w:rFonts w:ascii="黑体" w:eastAsia="黑体" w:hAnsi="黑体" w:hint="eastAsia"/>
          <w:sz w:val="32"/>
          <w:szCs w:val="32"/>
        </w:rPr>
        <w:t>相容性研究的考虑要点</w:t>
      </w:r>
    </w:p>
    <w:p w:rsidR="00F55F1C" w:rsidRPr="00457BA9" w:rsidRDefault="00F55F1C" w:rsidP="00F55F1C">
      <w:pPr>
        <w:autoSpaceDE w:val="0"/>
        <w:autoSpaceDN w:val="0"/>
        <w:adjustRightInd w:val="0"/>
        <w:snapToGrid w:val="0"/>
        <w:spacing w:line="620" w:lineRule="exact"/>
        <w:ind w:firstLineChars="200" w:firstLine="640"/>
        <w:outlineLvl w:val="0"/>
        <w:rPr>
          <w:rFonts w:eastAsia="楷体_GB2312"/>
          <w:bCs/>
          <w:kern w:val="0"/>
          <w:sz w:val="32"/>
          <w:szCs w:val="32"/>
        </w:rPr>
      </w:pPr>
      <w:r w:rsidRPr="00457BA9">
        <w:rPr>
          <w:rFonts w:eastAsia="楷体_GB2312"/>
          <w:bCs/>
          <w:kern w:val="0"/>
          <w:sz w:val="32"/>
          <w:szCs w:val="32"/>
        </w:rPr>
        <w:t xml:space="preserve">2.1 </w:t>
      </w:r>
      <w:r w:rsidRPr="00457BA9">
        <w:rPr>
          <w:rFonts w:eastAsia="楷体_GB2312"/>
          <w:bCs/>
          <w:kern w:val="0"/>
          <w:sz w:val="32"/>
          <w:szCs w:val="32"/>
        </w:rPr>
        <w:t>玻璃的分类</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目前，中国参考</w:t>
      </w:r>
      <w:r w:rsidRPr="00457BA9">
        <w:rPr>
          <w:rFonts w:eastAsia="仿宋_GB2312"/>
          <w:kern w:val="0"/>
          <w:sz w:val="32"/>
          <w:szCs w:val="32"/>
        </w:rPr>
        <w:t>ISO 12775:1997</w:t>
      </w:r>
      <w:r w:rsidRPr="00457BA9">
        <w:rPr>
          <w:rFonts w:eastAsia="仿宋_GB2312" w:hint="eastAsia"/>
          <w:kern w:val="0"/>
          <w:sz w:val="32"/>
          <w:szCs w:val="32"/>
        </w:rPr>
        <w:t>（</w:t>
      </w:r>
      <w:r w:rsidRPr="00457BA9">
        <w:rPr>
          <w:rFonts w:eastAsia="仿宋_GB2312"/>
          <w:kern w:val="0"/>
          <w:sz w:val="32"/>
          <w:szCs w:val="32"/>
        </w:rPr>
        <w:t>E</w:t>
      </w:r>
      <w:r w:rsidRPr="00457BA9">
        <w:rPr>
          <w:rFonts w:eastAsia="仿宋_GB2312" w:hint="eastAsia"/>
          <w:kern w:val="0"/>
          <w:sz w:val="32"/>
          <w:szCs w:val="32"/>
        </w:rPr>
        <w:t>）分类方法，根据三氧化二硼（</w:t>
      </w:r>
      <w:r w:rsidRPr="00457BA9">
        <w:rPr>
          <w:rFonts w:eastAsia="仿宋_GB2312"/>
          <w:kern w:val="0"/>
          <w:sz w:val="32"/>
          <w:szCs w:val="32"/>
        </w:rPr>
        <w:t>B2O3</w:t>
      </w:r>
      <w:r w:rsidRPr="00457BA9">
        <w:rPr>
          <w:rFonts w:eastAsia="仿宋_GB2312" w:hint="eastAsia"/>
          <w:kern w:val="0"/>
          <w:sz w:val="32"/>
          <w:szCs w:val="32"/>
        </w:rPr>
        <w:t>）含量和</w:t>
      </w:r>
      <w:r w:rsidRPr="00457BA9">
        <w:rPr>
          <w:rFonts w:eastAsia="仿宋_GB2312"/>
          <w:kern w:val="0"/>
          <w:sz w:val="32"/>
          <w:szCs w:val="32"/>
        </w:rPr>
        <w:t>平均线热膨胀系数</w:t>
      </w:r>
      <w:r w:rsidRPr="00457BA9">
        <w:rPr>
          <w:rFonts w:eastAsia="仿宋_GB2312" w:hint="eastAsia"/>
          <w:kern w:val="0"/>
          <w:sz w:val="32"/>
          <w:szCs w:val="32"/>
        </w:rPr>
        <w:t>（</w:t>
      </w:r>
      <w:r w:rsidRPr="00457BA9">
        <w:rPr>
          <w:rFonts w:eastAsia="仿宋_GB2312"/>
          <w:kern w:val="0"/>
          <w:sz w:val="32"/>
          <w:szCs w:val="32"/>
        </w:rPr>
        <w:t xml:space="preserve">Coefficient of </w:t>
      </w:r>
      <w:r w:rsidRPr="00457BA9">
        <w:rPr>
          <w:rFonts w:eastAsia="仿宋_GB2312" w:hint="eastAsia"/>
          <w:kern w:val="0"/>
          <w:sz w:val="32"/>
          <w:szCs w:val="32"/>
        </w:rPr>
        <w:t xml:space="preserve">Mean Linear </w:t>
      </w:r>
      <w:r w:rsidRPr="00457BA9">
        <w:rPr>
          <w:rFonts w:eastAsia="仿宋_GB2312"/>
          <w:kern w:val="0"/>
          <w:sz w:val="32"/>
          <w:szCs w:val="32"/>
        </w:rPr>
        <w:t>Thermal Expansion</w:t>
      </w:r>
      <w:r w:rsidRPr="00457BA9">
        <w:rPr>
          <w:rFonts w:eastAsia="仿宋_GB2312" w:hint="eastAsia"/>
          <w:kern w:val="0"/>
          <w:sz w:val="32"/>
          <w:szCs w:val="32"/>
        </w:rPr>
        <w:t>，简称</w:t>
      </w:r>
      <w:r w:rsidRPr="00457BA9">
        <w:rPr>
          <w:rFonts w:eastAsia="仿宋_GB2312"/>
          <w:kern w:val="0"/>
          <w:sz w:val="32"/>
          <w:szCs w:val="32"/>
        </w:rPr>
        <w:t>COE</w:t>
      </w:r>
      <w:r w:rsidRPr="00457BA9">
        <w:rPr>
          <w:rFonts w:eastAsia="仿宋_GB2312" w:hint="eastAsia"/>
          <w:kern w:val="0"/>
          <w:sz w:val="32"/>
          <w:szCs w:val="32"/>
        </w:rPr>
        <w:t>）的不同将玻璃分为两类：</w:t>
      </w:r>
      <w:proofErr w:type="gramStart"/>
      <w:r w:rsidRPr="00457BA9">
        <w:rPr>
          <w:rFonts w:eastAsia="仿宋_GB2312" w:hint="eastAsia"/>
          <w:kern w:val="0"/>
          <w:sz w:val="32"/>
          <w:szCs w:val="32"/>
        </w:rPr>
        <w:t>即硼硅玻璃</w:t>
      </w:r>
      <w:proofErr w:type="gramEnd"/>
      <w:r w:rsidRPr="00457BA9">
        <w:rPr>
          <w:rFonts w:eastAsia="仿宋_GB2312" w:hint="eastAsia"/>
          <w:kern w:val="0"/>
          <w:sz w:val="32"/>
          <w:szCs w:val="32"/>
        </w:rPr>
        <w:t>和钠钙玻璃，其</w:t>
      </w:r>
      <w:proofErr w:type="gramStart"/>
      <w:r w:rsidRPr="00457BA9">
        <w:rPr>
          <w:rFonts w:eastAsia="仿宋_GB2312" w:hint="eastAsia"/>
          <w:kern w:val="0"/>
          <w:sz w:val="32"/>
          <w:szCs w:val="32"/>
        </w:rPr>
        <w:t>中将硼硅玻璃</w:t>
      </w:r>
      <w:proofErr w:type="gramEnd"/>
      <w:r w:rsidRPr="00457BA9">
        <w:rPr>
          <w:rFonts w:eastAsia="仿宋_GB2312" w:hint="eastAsia"/>
          <w:kern w:val="0"/>
          <w:sz w:val="32"/>
          <w:szCs w:val="32"/>
        </w:rPr>
        <w:t>又分为</w:t>
      </w:r>
      <w:proofErr w:type="gramStart"/>
      <w:r w:rsidRPr="00457BA9">
        <w:rPr>
          <w:rFonts w:eastAsia="仿宋_GB2312" w:hint="eastAsia"/>
          <w:kern w:val="0"/>
          <w:sz w:val="32"/>
          <w:szCs w:val="32"/>
        </w:rPr>
        <w:t>高硼硅玻璃</w:t>
      </w:r>
      <w:proofErr w:type="gramEnd"/>
      <w:r w:rsidRPr="00457BA9">
        <w:rPr>
          <w:rFonts w:eastAsia="仿宋_GB2312" w:hint="eastAsia"/>
          <w:kern w:val="0"/>
          <w:sz w:val="32"/>
          <w:szCs w:val="32"/>
        </w:rPr>
        <w:t>、</w:t>
      </w:r>
      <w:proofErr w:type="gramStart"/>
      <w:r w:rsidRPr="00457BA9">
        <w:rPr>
          <w:rFonts w:eastAsia="仿宋_GB2312" w:hint="eastAsia"/>
          <w:kern w:val="0"/>
          <w:sz w:val="32"/>
          <w:szCs w:val="32"/>
        </w:rPr>
        <w:t>中硼硅玻璃</w:t>
      </w:r>
      <w:proofErr w:type="gramEnd"/>
      <w:r w:rsidRPr="00457BA9">
        <w:rPr>
          <w:rFonts w:eastAsia="仿宋_GB2312" w:hint="eastAsia"/>
          <w:kern w:val="0"/>
          <w:sz w:val="32"/>
          <w:szCs w:val="32"/>
        </w:rPr>
        <w:t>、</w:t>
      </w:r>
      <w:proofErr w:type="gramStart"/>
      <w:r w:rsidRPr="00457BA9">
        <w:rPr>
          <w:rFonts w:eastAsia="仿宋_GB2312" w:hint="eastAsia"/>
          <w:kern w:val="0"/>
          <w:sz w:val="32"/>
          <w:szCs w:val="32"/>
        </w:rPr>
        <w:t>低硼硅玻璃</w:t>
      </w:r>
      <w:proofErr w:type="gramEnd"/>
      <w:r w:rsidRPr="00457BA9">
        <w:rPr>
          <w:rFonts w:eastAsia="仿宋_GB2312" w:hint="eastAsia"/>
          <w:kern w:val="0"/>
          <w:sz w:val="32"/>
          <w:szCs w:val="32"/>
        </w:rPr>
        <w:t>，如附件</w:t>
      </w:r>
      <w:r w:rsidRPr="00457BA9">
        <w:rPr>
          <w:rFonts w:eastAsia="仿宋_GB2312" w:hint="eastAsia"/>
          <w:kern w:val="0"/>
          <w:sz w:val="32"/>
          <w:szCs w:val="32"/>
        </w:rPr>
        <w:t>1</w:t>
      </w:r>
      <w:r w:rsidRPr="00457BA9">
        <w:rPr>
          <w:rFonts w:eastAsia="仿宋_GB2312" w:hint="eastAsia"/>
          <w:kern w:val="0"/>
          <w:sz w:val="32"/>
          <w:szCs w:val="32"/>
        </w:rPr>
        <w:t>所示。</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美国、欧洲以及日本对玻璃的分类与我国不同，但其分类思路基本一致，如附件</w:t>
      </w:r>
      <w:r w:rsidRPr="00457BA9">
        <w:rPr>
          <w:rFonts w:eastAsia="仿宋_GB2312" w:hint="eastAsia"/>
          <w:kern w:val="0"/>
          <w:sz w:val="32"/>
          <w:szCs w:val="32"/>
        </w:rPr>
        <w:t>2</w:t>
      </w:r>
      <w:r w:rsidRPr="00457BA9">
        <w:rPr>
          <w:rFonts w:eastAsia="仿宋_GB2312" w:hint="eastAsia"/>
          <w:kern w:val="0"/>
          <w:sz w:val="32"/>
          <w:szCs w:val="32"/>
        </w:rPr>
        <w:t>所示。</w:t>
      </w:r>
    </w:p>
    <w:p w:rsidR="00F55F1C" w:rsidRPr="00457BA9" w:rsidRDefault="00F55F1C" w:rsidP="00F55F1C">
      <w:pPr>
        <w:autoSpaceDE w:val="0"/>
        <w:autoSpaceDN w:val="0"/>
        <w:adjustRightInd w:val="0"/>
        <w:snapToGrid w:val="0"/>
        <w:spacing w:line="620" w:lineRule="exact"/>
        <w:ind w:firstLineChars="200" w:firstLine="640"/>
        <w:outlineLvl w:val="0"/>
        <w:rPr>
          <w:rFonts w:eastAsia="楷体_GB2312"/>
          <w:bCs/>
          <w:kern w:val="0"/>
          <w:sz w:val="32"/>
          <w:szCs w:val="32"/>
        </w:rPr>
      </w:pPr>
      <w:r w:rsidRPr="00457BA9">
        <w:rPr>
          <w:rFonts w:eastAsia="楷体_GB2312"/>
          <w:bCs/>
          <w:kern w:val="0"/>
          <w:sz w:val="32"/>
          <w:szCs w:val="32"/>
        </w:rPr>
        <w:t xml:space="preserve">2.2 </w:t>
      </w:r>
      <w:r w:rsidRPr="00457BA9">
        <w:rPr>
          <w:rFonts w:eastAsia="楷体_GB2312" w:hint="eastAsia"/>
          <w:bCs/>
          <w:kern w:val="0"/>
          <w:sz w:val="32"/>
          <w:szCs w:val="32"/>
        </w:rPr>
        <w:t>注射剂与玻璃包装容器可能发生的相互作用</w:t>
      </w:r>
    </w:p>
    <w:p w:rsidR="00F55F1C" w:rsidRPr="00457BA9" w:rsidRDefault="00F55F1C" w:rsidP="00F55F1C">
      <w:pPr>
        <w:autoSpaceDE w:val="0"/>
        <w:autoSpaceDN w:val="0"/>
        <w:adjustRightInd w:val="0"/>
        <w:snapToGrid w:val="0"/>
        <w:spacing w:line="620" w:lineRule="exact"/>
        <w:ind w:firstLineChars="200" w:firstLine="640"/>
        <w:outlineLvl w:val="0"/>
        <w:rPr>
          <w:rFonts w:eastAsia="仿宋_GB2312"/>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457BA9">
          <w:rPr>
            <w:rFonts w:eastAsia="仿宋_GB2312"/>
            <w:kern w:val="0"/>
            <w:sz w:val="32"/>
            <w:szCs w:val="32"/>
          </w:rPr>
          <w:t>2.2.1</w:t>
        </w:r>
        <w:r w:rsidRPr="00457BA9">
          <w:rPr>
            <w:rFonts w:eastAsia="仿宋_GB2312" w:hint="eastAsia"/>
            <w:kern w:val="0"/>
            <w:sz w:val="32"/>
            <w:szCs w:val="32"/>
          </w:rPr>
          <w:t xml:space="preserve"> </w:t>
        </w:r>
      </w:smartTag>
      <w:r w:rsidRPr="00457BA9">
        <w:rPr>
          <w:rFonts w:eastAsia="仿宋_GB2312" w:hint="eastAsia"/>
          <w:kern w:val="0"/>
          <w:sz w:val="32"/>
          <w:szCs w:val="32"/>
        </w:rPr>
        <w:t>玻璃容器的化学成分与生产工艺</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一般来说，药用玻璃通常包含二氧化硅、三氧化二硼、三氧化二铝、氧化钠、氧化钾、氧化钙、氧化镁等成分。每种成分比例并不恒定，在一定范围内波动。不同玻璃生产企业的玻璃化学</w:t>
      </w:r>
      <w:r w:rsidRPr="00457BA9">
        <w:rPr>
          <w:rFonts w:eastAsia="仿宋_GB2312" w:hint="eastAsia"/>
          <w:kern w:val="0"/>
          <w:sz w:val="32"/>
          <w:szCs w:val="32"/>
        </w:rPr>
        <w:lastRenderedPageBreak/>
        <w:t>组成会有所不同。</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为了改善药用玻璃的性能，通常会在玻璃中添加不同的氧化物，如加入氧化钠、氧化钾、氧化钙、氧化钡、氧化锌、三氧化二硼和氟化物可降低玻璃的熔化温度和</w:t>
      </w:r>
      <w:r w:rsidRPr="00457BA9">
        <w:rPr>
          <w:rFonts w:eastAsia="仿宋_GB2312"/>
          <w:kern w:val="0"/>
          <w:sz w:val="32"/>
          <w:szCs w:val="32"/>
        </w:rPr>
        <w:t>/</w:t>
      </w:r>
      <w:r w:rsidRPr="00457BA9">
        <w:rPr>
          <w:rFonts w:eastAsia="仿宋_GB2312" w:hint="eastAsia"/>
          <w:kern w:val="0"/>
          <w:sz w:val="32"/>
          <w:szCs w:val="32"/>
        </w:rPr>
        <w:t>或改善玻璃内表面耐受性；加入三氧化二铝可以改进玻璃的力学性能；加入铁、锰、钛等过渡金属氧化物形成着色玻璃以产生遮光效果；加入氧化砷、氧化锑等物质以除去玻璃中气泡，增加玻璃的澄清度。因此，玻璃中的金属离子或阳离子团均有可能从玻璃中迁移出来。</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玻璃包装容器通常采用模制和管制工艺生产。不同生产工艺对玻璃制品质量的影响不同，特别是对玻璃内表面的耐受性影响较大。模制玻璃容器内表面耐受性基本相同。对管制玻璃制成的不同类型玻璃容器，如管制注射剂瓶（或称西林瓶）、安瓿、笔式注射器玻璃套筒（或称卡氏瓶），</w:t>
      </w:r>
      <w:proofErr w:type="gramStart"/>
      <w:r w:rsidRPr="00457BA9">
        <w:rPr>
          <w:rFonts w:eastAsia="仿宋_GB2312" w:hint="eastAsia"/>
          <w:kern w:val="0"/>
          <w:sz w:val="32"/>
          <w:szCs w:val="32"/>
        </w:rPr>
        <w:t>预灌封</w:t>
      </w:r>
      <w:proofErr w:type="gramEnd"/>
      <w:r w:rsidRPr="00457BA9">
        <w:rPr>
          <w:rFonts w:eastAsia="仿宋_GB2312" w:hint="eastAsia"/>
          <w:kern w:val="0"/>
          <w:sz w:val="32"/>
          <w:szCs w:val="32"/>
        </w:rPr>
        <w:t>注射器玻璃针管等，通过加热使容器成型的过程中，由于局部受热（如底部</w:t>
      </w:r>
      <w:proofErr w:type="gramStart"/>
      <w:r w:rsidRPr="00457BA9">
        <w:rPr>
          <w:rFonts w:eastAsia="仿宋_GB2312" w:hint="eastAsia"/>
          <w:kern w:val="0"/>
          <w:sz w:val="32"/>
          <w:szCs w:val="32"/>
        </w:rPr>
        <w:t>应力环部位</w:t>
      </w:r>
      <w:proofErr w:type="gramEnd"/>
      <w:r w:rsidRPr="00457BA9">
        <w:rPr>
          <w:rFonts w:eastAsia="仿宋_GB2312" w:hint="eastAsia"/>
          <w:kern w:val="0"/>
          <w:sz w:val="32"/>
          <w:szCs w:val="32"/>
        </w:rPr>
        <w:t>，颈部）引起的碱金属和硼酸盐的蒸发及分相等原因，上述部位内表面的化学耐受性通常低于玻璃容器中未受热的部位；另外，不同厂家可能选择不同的管制成型工艺，如底部和颈部火焰加工温度以及形成玻璃容器后的退火温度、退火时间等不同，因此即使采用相同生产商提供的同批次玻璃管，管制玻璃容器也可能存在质量差异，给所包装的药物带来不同的风险。</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为了提高玻璃容器内表面耐水性等性能，</w:t>
      </w:r>
      <w:r w:rsidRPr="00457BA9">
        <w:rPr>
          <w:rFonts w:eastAsia="仿宋_GB2312"/>
          <w:kern w:val="0"/>
          <w:sz w:val="32"/>
          <w:szCs w:val="32"/>
        </w:rPr>
        <w:t>通常会对玻璃容器</w:t>
      </w:r>
      <w:r w:rsidRPr="00457BA9">
        <w:rPr>
          <w:rFonts w:eastAsia="仿宋_GB2312"/>
          <w:kern w:val="0"/>
          <w:sz w:val="32"/>
          <w:szCs w:val="32"/>
        </w:rPr>
        <w:lastRenderedPageBreak/>
        <w:t>的内表面进行</w:t>
      </w:r>
      <w:r w:rsidRPr="00457BA9">
        <w:rPr>
          <w:rFonts w:eastAsia="仿宋_GB2312" w:hint="eastAsia"/>
          <w:kern w:val="0"/>
          <w:sz w:val="32"/>
          <w:szCs w:val="32"/>
        </w:rPr>
        <w:t>化学处理，如用硫酸铵</w:t>
      </w:r>
      <w:r w:rsidRPr="00457BA9">
        <w:rPr>
          <w:rFonts w:eastAsia="仿宋_GB2312"/>
          <w:kern w:val="0"/>
          <w:sz w:val="32"/>
          <w:szCs w:val="32"/>
        </w:rPr>
        <w:t>处理</w:t>
      </w:r>
      <w:r w:rsidRPr="00457BA9">
        <w:rPr>
          <w:rFonts w:eastAsia="仿宋_GB2312" w:hint="eastAsia"/>
          <w:kern w:val="0"/>
          <w:sz w:val="32"/>
          <w:szCs w:val="32"/>
        </w:rPr>
        <w:t>。该</w:t>
      </w:r>
      <w:r w:rsidRPr="00457BA9">
        <w:rPr>
          <w:rFonts w:eastAsia="仿宋_GB2312"/>
          <w:kern w:val="0"/>
          <w:sz w:val="32"/>
          <w:szCs w:val="32"/>
        </w:rPr>
        <w:t>处理</w:t>
      </w:r>
      <w:r w:rsidRPr="00457BA9">
        <w:rPr>
          <w:rFonts w:eastAsia="仿宋_GB2312" w:hint="eastAsia"/>
          <w:kern w:val="0"/>
          <w:sz w:val="32"/>
          <w:szCs w:val="32"/>
        </w:rPr>
        <w:t>工艺</w:t>
      </w:r>
      <w:r w:rsidRPr="00457BA9">
        <w:rPr>
          <w:rFonts w:eastAsia="仿宋_GB2312"/>
          <w:kern w:val="0"/>
          <w:sz w:val="32"/>
          <w:szCs w:val="32"/>
        </w:rPr>
        <w:t>虽然可以提高玻璃的耐水能力，但</w:t>
      </w:r>
      <w:r w:rsidRPr="00457BA9">
        <w:rPr>
          <w:rFonts w:eastAsia="仿宋_GB2312" w:hint="eastAsia"/>
          <w:kern w:val="0"/>
          <w:sz w:val="32"/>
          <w:szCs w:val="32"/>
        </w:rPr>
        <w:t>可能会使某些</w:t>
      </w:r>
      <w:r w:rsidRPr="00457BA9">
        <w:rPr>
          <w:rFonts w:eastAsia="仿宋_GB2312"/>
          <w:kern w:val="0"/>
          <w:sz w:val="32"/>
          <w:szCs w:val="32"/>
        </w:rPr>
        <w:t>玻璃的</w:t>
      </w:r>
      <w:r w:rsidRPr="00457BA9">
        <w:rPr>
          <w:rFonts w:eastAsia="仿宋_GB2312" w:hint="eastAsia"/>
          <w:kern w:val="0"/>
          <w:sz w:val="32"/>
          <w:szCs w:val="32"/>
        </w:rPr>
        <w:t>结构脆弱；另外，也有少量玻璃容器采用内表面镀膜处理的方式，但必须注意的是，在药品长期贮藏条件下，膜层材料可能被药物侵蚀，膜层材料及玻璃成分均可能迁移进入药物中。</w:t>
      </w:r>
    </w:p>
    <w:p w:rsidR="00F55F1C" w:rsidRPr="00457BA9" w:rsidRDefault="00F55F1C" w:rsidP="00F55F1C">
      <w:pPr>
        <w:autoSpaceDE w:val="0"/>
        <w:autoSpaceDN w:val="0"/>
        <w:adjustRightInd w:val="0"/>
        <w:snapToGrid w:val="0"/>
        <w:spacing w:line="620" w:lineRule="exact"/>
        <w:ind w:firstLineChars="200" w:firstLine="640"/>
        <w:outlineLvl w:val="0"/>
        <w:rPr>
          <w:rFonts w:eastAsia="仿宋_GB2312"/>
          <w:kern w:val="0"/>
          <w:sz w:val="32"/>
          <w:szCs w:val="32"/>
        </w:rPr>
      </w:pPr>
      <w:r w:rsidRPr="00457BA9">
        <w:rPr>
          <w:rFonts w:eastAsia="仿宋_GB2312"/>
          <w:kern w:val="0"/>
          <w:sz w:val="32"/>
          <w:szCs w:val="32"/>
        </w:rPr>
        <w:t>2.2.</w:t>
      </w:r>
      <w:r w:rsidRPr="00457BA9">
        <w:rPr>
          <w:rFonts w:eastAsia="仿宋_GB2312" w:hint="eastAsia"/>
          <w:kern w:val="0"/>
          <w:sz w:val="32"/>
          <w:szCs w:val="32"/>
        </w:rPr>
        <w:t>2</w:t>
      </w:r>
      <w:r w:rsidRPr="00457BA9">
        <w:rPr>
          <w:rFonts w:eastAsia="仿宋_GB2312"/>
          <w:kern w:val="0"/>
          <w:sz w:val="32"/>
          <w:szCs w:val="32"/>
        </w:rPr>
        <w:t xml:space="preserve"> </w:t>
      </w:r>
      <w:r w:rsidRPr="00457BA9">
        <w:rPr>
          <w:rFonts w:eastAsia="仿宋_GB2312" w:hint="eastAsia"/>
          <w:kern w:val="0"/>
          <w:sz w:val="32"/>
          <w:szCs w:val="32"/>
        </w:rPr>
        <w:t>注射剂与玻璃包装容器的相互作用</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注射剂的药物与玻璃包装容器可发生物理化学反应。常见的反应有：某些药物对酸、碱、金属离子等敏感，如果玻璃中的金属离子和</w:t>
      </w:r>
      <w:r w:rsidRPr="00457BA9">
        <w:rPr>
          <w:rFonts w:eastAsia="仿宋_GB2312"/>
          <w:kern w:val="0"/>
          <w:sz w:val="32"/>
          <w:szCs w:val="32"/>
        </w:rPr>
        <w:t>/</w:t>
      </w:r>
      <w:r w:rsidRPr="00457BA9">
        <w:rPr>
          <w:rFonts w:eastAsia="仿宋_GB2312" w:hint="eastAsia"/>
          <w:kern w:val="0"/>
          <w:sz w:val="32"/>
          <w:szCs w:val="32"/>
        </w:rPr>
        <w:t>或镀膜成分迁移进入药液，可催化药物发生某些降解反应，导致溶液颜色加深、产生沉淀、出现可见异物，药物降解速度加快等现象；玻璃中的钠离子</w:t>
      </w:r>
      <w:r w:rsidRPr="00457BA9">
        <w:rPr>
          <w:rFonts w:eastAsia="仿宋_GB2312"/>
          <w:kern w:val="0"/>
          <w:sz w:val="32"/>
          <w:szCs w:val="32"/>
        </w:rPr>
        <w:t>迁移后，</w:t>
      </w:r>
      <w:r w:rsidRPr="00457BA9">
        <w:rPr>
          <w:rFonts w:eastAsia="仿宋_GB2312" w:hint="eastAsia"/>
          <w:kern w:val="0"/>
          <w:sz w:val="32"/>
          <w:szCs w:val="32"/>
        </w:rPr>
        <w:t>导致</w:t>
      </w:r>
      <w:r w:rsidRPr="00457BA9">
        <w:rPr>
          <w:rFonts w:eastAsia="仿宋_GB2312"/>
          <w:kern w:val="0"/>
          <w:sz w:val="32"/>
          <w:szCs w:val="32"/>
        </w:rPr>
        <w:t>药液</w:t>
      </w:r>
      <w:r w:rsidRPr="00457BA9">
        <w:rPr>
          <w:rFonts w:eastAsia="仿宋_GB2312"/>
          <w:kern w:val="0"/>
          <w:sz w:val="32"/>
          <w:szCs w:val="32"/>
        </w:rPr>
        <w:t>pH</w:t>
      </w:r>
      <w:r w:rsidRPr="00457BA9">
        <w:rPr>
          <w:rFonts w:eastAsia="仿宋_GB2312"/>
          <w:kern w:val="0"/>
          <w:sz w:val="32"/>
          <w:szCs w:val="32"/>
        </w:rPr>
        <w:t>值发生变化</w:t>
      </w:r>
      <w:r w:rsidRPr="00457BA9">
        <w:rPr>
          <w:rFonts w:eastAsia="仿宋_GB2312" w:hint="eastAsia"/>
          <w:kern w:val="0"/>
          <w:sz w:val="32"/>
          <w:szCs w:val="32"/>
        </w:rPr>
        <w:t>，某些毒性较大的金属离子或阳离子基团迁移进入药液也会产生潜在的安全性风险。</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对于某些微量、治疗窗窄、结构上存在易与玻璃发生吸附官能团的药物，或是处方中含有微量功能性辅料（如抗氧剂，络合剂）的药物，玻璃容器表面可能会产生吸附作用，使药物剂量或辅料含量降低。</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注射剂会对玻璃内表面的耐受性产生影响，降低玻璃容器的保护作用和功能性，甚至导致玻璃网状结构破坏致使其中的成分大量溶出并产生玻璃屑或脱片，引发安全性问题。影响玻璃内表面耐受性的因素包括玻璃容器的化学组成、生产工艺、成型后的</w:t>
      </w:r>
      <w:r w:rsidRPr="00457BA9">
        <w:rPr>
          <w:rFonts w:eastAsia="仿宋_GB2312" w:hint="eastAsia"/>
          <w:kern w:val="0"/>
          <w:sz w:val="32"/>
          <w:szCs w:val="32"/>
        </w:rPr>
        <w:lastRenderedPageBreak/>
        <w:t>处理方式，以及药物制剂的处方（组成成分、离子强度、络合剂、</w:t>
      </w:r>
      <w:r w:rsidRPr="00457BA9">
        <w:rPr>
          <w:rFonts w:eastAsia="仿宋_GB2312" w:hint="eastAsia"/>
          <w:kern w:val="0"/>
          <w:sz w:val="32"/>
          <w:szCs w:val="32"/>
        </w:rPr>
        <w:t>pH</w:t>
      </w:r>
      <w:r w:rsidRPr="00457BA9">
        <w:rPr>
          <w:rFonts w:eastAsia="仿宋_GB2312" w:hint="eastAsia"/>
          <w:kern w:val="0"/>
          <w:sz w:val="32"/>
          <w:szCs w:val="32"/>
        </w:rPr>
        <w:t>值）、灭菌方式等。模制玻璃容器所有面的内表面耐受性基本相同，管制玻璃容器靠近底部</w:t>
      </w:r>
      <w:proofErr w:type="gramStart"/>
      <w:r w:rsidRPr="00457BA9">
        <w:rPr>
          <w:rFonts w:eastAsia="仿宋_GB2312" w:hint="eastAsia"/>
          <w:kern w:val="0"/>
          <w:sz w:val="32"/>
          <w:szCs w:val="32"/>
        </w:rPr>
        <w:t>应力环部位</w:t>
      </w:r>
      <w:proofErr w:type="gramEnd"/>
      <w:r w:rsidRPr="00457BA9">
        <w:rPr>
          <w:rFonts w:eastAsia="仿宋_GB2312" w:hint="eastAsia"/>
          <w:kern w:val="0"/>
          <w:sz w:val="32"/>
          <w:szCs w:val="32"/>
        </w:rPr>
        <w:t>和颈部内表面的化学耐受性低于其他部位，耐腐蚀性受不同药物制剂的影响较大。内表面经过处理（例如用硫酸铵处理）的玻璃可能导致表面</w:t>
      </w:r>
      <w:proofErr w:type="gramStart"/>
      <w:r w:rsidRPr="00457BA9">
        <w:rPr>
          <w:rFonts w:eastAsia="仿宋_GB2312" w:hint="eastAsia"/>
          <w:kern w:val="0"/>
          <w:sz w:val="32"/>
          <w:szCs w:val="32"/>
        </w:rPr>
        <w:t>层富硅</w:t>
      </w:r>
      <w:proofErr w:type="gramEnd"/>
      <w:r w:rsidRPr="00457BA9">
        <w:rPr>
          <w:rFonts w:eastAsia="仿宋_GB2312" w:hint="eastAsia"/>
          <w:kern w:val="0"/>
          <w:sz w:val="32"/>
          <w:szCs w:val="32"/>
        </w:rPr>
        <w:t>，会造成玻璃结构脆弱。</w:t>
      </w:r>
    </w:p>
    <w:p w:rsidR="00F55F1C" w:rsidRPr="00457BA9" w:rsidRDefault="00F55F1C" w:rsidP="00F55F1C">
      <w:pPr>
        <w:autoSpaceDE w:val="0"/>
        <w:autoSpaceDN w:val="0"/>
        <w:adjustRightInd w:val="0"/>
        <w:snapToGrid w:val="0"/>
        <w:spacing w:line="620" w:lineRule="exact"/>
        <w:ind w:firstLineChars="200" w:firstLine="640"/>
        <w:outlineLvl w:val="0"/>
        <w:rPr>
          <w:rFonts w:eastAsia="仿宋_GB2312"/>
          <w:kern w:val="0"/>
          <w:sz w:val="32"/>
          <w:szCs w:val="32"/>
        </w:rPr>
      </w:pPr>
      <w:r w:rsidRPr="00457BA9">
        <w:rPr>
          <w:rFonts w:eastAsia="仿宋_GB2312" w:hint="eastAsia"/>
          <w:kern w:val="0"/>
          <w:sz w:val="32"/>
          <w:szCs w:val="32"/>
        </w:rPr>
        <w:t>影响玻璃内表面耐受性的因素可参见附件</w:t>
      </w:r>
      <w:r w:rsidRPr="00457BA9">
        <w:rPr>
          <w:rFonts w:eastAsia="仿宋_GB2312" w:hint="eastAsia"/>
          <w:kern w:val="0"/>
          <w:sz w:val="32"/>
          <w:szCs w:val="32"/>
        </w:rPr>
        <w:t>3</w:t>
      </w:r>
      <w:r w:rsidRPr="00457BA9">
        <w:rPr>
          <w:rFonts w:eastAsia="仿宋_GB2312" w:hint="eastAsia"/>
          <w:kern w:val="0"/>
          <w:sz w:val="32"/>
          <w:szCs w:val="32"/>
        </w:rPr>
        <w:t>。</w:t>
      </w:r>
    </w:p>
    <w:p w:rsidR="00F55F1C" w:rsidRPr="00457BA9" w:rsidRDefault="00F55F1C" w:rsidP="00F55F1C">
      <w:pPr>
        <w:autoSpaceDE w:val="0"/>
        <w:autoSpaceDN w:val="0"/>
        <w:adjustRightInd w:val="0"/>
        <w:snapToGrid w:val="0"/>
        <w:spacing w:line="620" w:lineRule="exact"/>
        <w:ind w:firstLineChars="200" w:firstLine="640"/>
        <w:outlineLvl w:val="0"/>
        <w:rPr>
          <w:rFonts w:eastAsia="仿宋_GB2312"/>
          <w:kern w:val="0"/>
          <w:sz w:val="32"/>
          <w:szCs w:val="32"/>
        </w:rPr>
      </w:pPr>
      <w:r w:rsidRPr="00457BA9">
        <w:rPr>
          <w:rFonts w:eastAsia="仿宋_GB2312"/>
          <w:kern w:val="0"/>
          <w:sz w:val="32"/>
          <w:szCs w:val="32"/>
        </w:rPr>
        <w:t>2.2.</w:t>
      </w:r>
      <w:r w:rsidRPr="00457BA9">
        <w:rPr>
          <w:rFonts w:eastAsia="仿宋_GB2312" w:hint="eastAsia"/>
          <w:kern w:val="0"/>
          <w:sz w:val="32"/>
          <w:szCs w:val="32"/>
        </w:rPr>
        <w:t>3</w:t>
      </w:r>
      <w:r w:rsidRPr="00457BA9">
        <w:rPr>
          <w:rFonts w:eastAsia="仿宋_GB2312"/>
          <w:kern w:val="0"/>
          <w:sz w:val="32"/>
          <w:szCs w:val="32"/>
        </w:rPr>
        <w:t xml:space="preserve"> </w:t>
      </w:r>
      <w:r w:rsidRPr="00457BA9">
        <w:rPr>
          <w:rFonts w:eastAsia="仿宋_GB2312" w:hint="eastAsia"/>
          <w:kern w:val="0"/>
          <w:sz w:val="32"/>
          <w:szCs w:val="32"/>
        </w:rPr>
        <w:t>为注射剂选择适宜的玻璃包装容器</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本指导原则所指的玻璃包装容器</w:t>
      </w:r>
      <w:proofErr w:type="gramStart"/>
      <w:r w:rsidRPr="00457BA9">
        <w:rPr>
          <w:rFonts w:eastAsia="仿宋_GB2312" w:hint="eastAsia"/>
          <w:kern w:val="0"/>
          <w:sz w:val="32"/>
          <w:szCs w:val="32"/>
        </w:rPr>
        <w:t>涵盖了模制</w:t>
      </w:r>
      <w:proofErr w:type="gramEnd"/>
      <w:r w:rsidRPr="00457BA9">
        <w:rPr>
          <w:rFonts w:eastAsia="仿宋_GB2312" w:hint="eastAsia"/>
          <w:kern w:val="0"/>
          <w:sz w:val="32"/>
          <w:szCs w:val="32"/>
        </w:rPr>
        <w:t>输液瓶和注射剂瓶，以及管制注射剂瓶、安瓿、笔式注射器玻璃套筒和</w:t>
      </w:r>
      <w:proofErr w:type="gramStart"/>
      <w:r w:rsidRPr="00457BA9">
        <w:rPr>
          <w:rFonts w:eastAsia="仿宋_GB2312" w:hint="eastAsia"/>
          <w:kern w:val="0"/>
          <w:sz w:val="32"/>
          <w:szCs w:val="32"/>
        </w:rPr>
        <w:t>预灌封</w:t>
      </w:r>
      <w:proofErr w:type="gramEnd"/>
      <w:r w:rsidRPr="00457BA9">
        <w:rPr>
          <w:rFonts w:eastAsia="仿宋_GB2312" w:hint="eastAsia"/>
          <w:kern w:val="0"/>
          <w:sz w:val="32"/>
          <w:szCs w:val="32"/>
        </w:rPr>
        <w:t>注射器玻璃针管等。</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通常，药用玻璃具有较好的物理、化学稳定性，生物安全性相对较高。在为注射剂选择玻璃包装容器时，需要关注玻璃容器的保护作用、相容性、安全性，以及与工艺的适用性等。</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在相容性方面，需考察制剂对玻璃容器性能的影响，以及玻璃容器对制剂质量和安全性的影响，可关注以下方面内容：玻璃的类型、玻璃的化学组成、玻璃容器的生产工艺、规格大小、玻璃成型后的处理方式；药品和处方的性质，如药液的</w:t>
      </w:r>
      <w:r w:rsidRPr="00457BA9">
        <w:rPr>
          <w:rFonts w:eastAsia="仿宋_GB2312"/>
          <w:kern w:val="0"/>
          <w:sz w:val="32"/>
          <w:szCs w:val="32"/>
        </w:rPr>
        <w:t>pH</w:t>
      </w:r>
      <w:r w:rsidRPr="00457BA9">
        <w:rPr>
          <w:rFonts w:eastAsia="仿宋_GB2312" w:hint="eastAsia"/>
          <w:kern w:val="0"/>
          <w:sz w:val="32"/>
          <w:szCs w:val="32"/>
        </w:rPr>
        <w:t>值、离子强度等；以及制剂生产过程中的清洗、灭菌等工艺对玻璃容器的影响，如洗瓶阶段的干热灭菌工艺、制剂冷冻干燥工艺、终端灭菌工艺等。</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lastRenderedPageBreak/>
        <w:t>一般情况下，管制玻璃容器多适用于包装小容量注射液以及粉末，如安瓿瓶、笔式注射器玻璃套筒和</w:t>
      </w:r>
      <w:proofErr w:type="gramStart"/>
      <w:r w:rsidRPr="00457BA9">
        <w:rPr>
          <w:rFonts w:eastAsia="仿宋_GB2312" w:hint="eastAsia"/>
          <w:kern w:val="0"/>
          <w:sz w:val="32"/>
          <w:szCs w:val="32"/>
        </w:rPr>
        <w:t>预灌封</w:t>
      </w:r>
      <w:proofErr w:type="gramEnd"/>
      <w:r w:rsidRPr="00457BA9">
        <w:rPr>
          <w:rFonts w:eastAsia="仿宋_GB2312" w:hint="eastAsia"/>
          <w:kern w:val="0"/>
          <w:sz w:val="32"/>
          <w:szCs w:val="32"/>
        </w:rPr>
        <w:t>注射器等；模制玻璃容器多适用于大容量注射剂、小容量注射液和粉末（模制注射剂瓶）的包装，如钠钙玻璃输液瓶、</w:t>
      </w:r>
      <w:proofErr w:type="gramStart"/>
      <w:r w:rsidRPr="00457BA9">
        <w:rPr>
          <w:rFonts w:eastAsia="仿宋_GB2312" w:hint="eastAsia"/>
          <w:kern w:val="0"/>
          <w:sz w:val="32"/>
          <w:szCs w:val="32"/>
        </w:rPr>
        <w:t>中硼硅玻璃</w:t>
      </w:r>
      <w:proofErr w:type="gramEnd"/>
      <w:r w:rsidRPr="00457BA9">
        <w:rPr>
          <w:rFonts w:eastAsia="仿宋_GB2312" w:hint="eastAsia"/>
          <w:kern w:val="0"/>
          <w:sz w:val="32"/>
          <w:szCs w:val="32"/>
        </w:rPr>
        <w:t>输液瓶等。</w:t>
      </w:r>
    </w:p>
    <w:p w:rsidR="00F55F1C" w:rsidRPr="00457BA9" w:rsidRDefault="00F55F1C" w:rsidP="00F55F1C">
      <w:pPr>
        <w:autoSpaceDE w:val="0"/>
        <w:autoSpaceDN w:val="0"/>
        <w:adjustRightInd w:val="0"/>
        <w:snapToGrid w:val="0"/>
        <w:spacing w:line="620" w:lineRule="exact"/>
        <w:ind w:firstLineChars="200" w:firstLine="640"/>
        <w:outlineLvl w:val="0"/>
        <w:rPr>
          <w:rFonts w:eastAsia="楷体_GB2312"/>
          <w:bCs/>
          <w:sz w:val="32"/>
          <w:szCs w:val="32"/>
        </w:rPr>
      </w:pPr>
      <w:r w:rsidRPr="00457BA9">
        <w:rPr>
          <w:rFonts w:eastAsia="楷体_GB2312"/>
          <w:bCs/>
          <w:kern w:val="0"/>
          <w:sz w:val="32"/>
          <w:szCs w:val="32"/>
        </w:rPr>
        <w:t>2.3</w:t>
      </w:r>
      <w:r>
        <w:rPr>
          <w:rFonts w:eastAsia="楷体_GB2312" w:hint="eastAsia"/>
          <w:bCs/>
          <w:kern w:val="0"/>
          <w:sz w:val="32"/>
          <w:szCs w:val="32"/>
        </w:rPr>
        <w:t xml:space="preserve"> </w:t>
      </w:r>
      <w:r w:rsidRPr="00457BA9">
        <w:rPr>
          <w:rFonts w:eastAsia="楷体_GB2312"/>
          <w:bCs/>
          <w:sz w:val="32"/>
          <w:szCs w:val="32"/>
        </w:rPr>
        <w:t>相容性研究的步骤</w:t>
      </w:r>
    </w:p>
    <w:p w:rsidR="00F55F1C" w:rsidRPr="00457BA9" w:rsidRDefault="00F55F1C" w:rsidP="00F55F1C">
      <w:pPr>
        <w:autoSpaceDE w:val="0"/>
        <w:autoSpaceDN w:val="0"/>
        <w:adjustRightInd w:val="0"/>
        <w:snapToGrid w:val="0"/>
        <w:spacing w:line="620" w:lineRule="exact"/>
        <w:ind w:firstLine="570"/>
        <w:rPr>
          <w:rFonts w:eastAsia="仿宋_GB2312"/>
          <w:kern w:val="0"/>
          <w:sz w:val="32"/>
          <w:szCs w:val="32"/>
        </w:rPr>
      </w:pPr>
      <w:r w:rsidRPr="00457BA9">
        <w:rPr>
          <w:rFonts w:eastAsia="仿宋_GB2312" w:hint="eastAsia"/>
          <w:kern w:val="0"/>
          <w:sz w:val="32"/>
          <w:szCs w:val="32"/>
        </w:rPr>
        <w:t>相容性研究内容应包括包装容器对药品的影响以及药品对包装容器的影响，主要分为如下六个步骤：</w:t>
      </w:r>
      <w:r w:rsidRPr="00457BA9">
        <w:rPr>
          <w:rFonts w:eastAsia="仿宋_GB2312"/>
          <w:kern w:val="0"/>
          <w:sz w:val="32"/>
          <w:szCs w:val="32"/>
        </w:rPr>
        <w:t>1</w:t>
      </w:r>
      <w:r w:rsidRPr="00457BA9">
        <w:rPr>
          <w:rFonts w:eastAsia="仿宋_GB2312" w:hint="eastAsia"/>
          <w:kern w:val="0"/>
          <w:sz w:val="32"/>
          <w:szCs w:val="32"/>
        </w:rPr>
        <w:t>）确定直接接触药品的包装组件；</w:t>
      </w:r>
      <w:r w:rsidRPr="00457BA9">
        <w:rPr>
          <w:rFonts w:eastAsia="仿宋_GB2312"/>
          <w:kern w:val="0"/>
          <w:sz w:val="32"/>
          <w:szCs w:val="32"/>
        </w:rPr>
        <w:t>2</w:t>
      </w:r>
      <w:r w:rsidRPr="00457BA9">
        <w:rPr>
          <w:rFonts w:eastAsia="仿宋_GB2312" w:hint="eastAsia"/>
          <w:kern w:val="0"/>
          <w:sz w:val="32"/>
          <w:szCs w:val="32"/>
        </w:rPr>
        <w:t>）了解或分析包装组件材料的组成、包装组件与药品的接触方式与接触条件、生产工艺过程，如：玻璃容器的生产工艺（模制或管制）、玻璃类型、玻璃成型后的处理方法等，并根据注射剂的理化性质对拟选择的玻璃容器进行初步评估；</w:t>
      </w:r>
      <w:r w:rsidRPr="00457BA9">
        <w:rPr>
          <w:rFonts w:eastAsia="仿宋_GB2312"/>
          <w:kern w:val="0"/>
          <w:sz w:val="32"/>
          <w:szCs w:val="32"/>
        </w:rPr>
        <w:t>3</w:t>
      </w:r>
      <w:r w:rsidRPr="00457BA9">
        <w:rPr>
          <w:rFonts w:eastAsia="仿宋_GB2312" w:hint="eastAsia"/>
          <w:kern w:val="0"/>
          <w:sz w:val="32"/>
          <w:szCs w:val="32"/>
        </w:rPr>
        <w:t>）对玻璃包装进行模拟试验，预测玻璃容器是否会</w:t>
      </w:r>
      <w:proofErr w:type="gramStart"/>
      <w:r w:rsidRPr="00457BA9">
        <w:rPr>
          <w:rFonts w:eastAsia="仿宋_GB2312" w:hint="eastAsia"/>
          <w:kern w:val="0"/>
          <w:sz w:val="32"/>
          <w:szCs w:val="32"/>
        </w:rPr>
        <w:t>产生脱片以及</w:t>
      </w:r>
      <w:proofErr w:type="gramEnd"/>
      <w:r w:rsidRPr="00457BA9">
        <w:rPr>
          <w:rFonts w:eastAsia="仿宋_GB2312" w:hint="eastAsia"/>
          <w:kern w:val="0"/>
          <w:sz w:val="32"/>
          <w:szCs w:val="32"/>
        </w:rPr>
        <w:t>其他问题；</w:t>
      </w:r>
      <w:r w:rsidRPr="00457BA9">
        <w:rPr>
          <w:rFonts w:eastAsia="仿宋_GB2312"/>
          <w:kern w:val="0"/>
          <w:sz w:val="32"/>
          <w:szCs w:val="32"/>
        </w:rPr>
        <w:t>4</w:t>
      </w:r>
      <w:r w:rsidRPr="00457BA9">
        <w:rPr>
          <w:rFonts w:eastAsia="仿宋_GB2312" w:hint="eastAsia"/>
          <w:kern w:val="0"/>
          <w:sz w:val="32"/>
          <w:szCs w:val="32"/>
        </w:rPr>
        <w:t>）进行制剂与包装容器系统的相互作用研究，主要考察玻璃容器对药品的影响以及药品对玻璃容器的影响，应进行药品常规检查项目检查、迁移试验、吸附试验，同时对玻璃内表面的侵蚀性进行考察；</w:t>
      </w:r>
      <w:r w:rsidRPr="00457BA9">
        <w:rPr>
          <w:rFonts w:eastAsia="仿宋_GB2312"/>
          <w:kern w:val="0"/>
          <w:sz w:val="32"/>
          <w:szCs w:val="32"/>
        </w:rPr>
        <w:t>5</w:t>
      </w:r>
      <w:r w:rsidRPr="00457BA9">
        <w:rPr>
          <w:rFonts w:eastAsia="仿宋_GB2312" w:hint="eastAsia"/>
          <w:kern w:val="0"/>
          <w:sz w:val="32"/>
          <w:szCs w:val="32"/>
        </w:rPr>
        <w:t>）</w:t>
      </w:r>
      <w:r w:rsidRPr="00457BA9">
        <w:rPr>
          <w:rFonts w:eastAsia="仿宋_GB2312" w:hint="eastAsia"/>
          <w:spacing w:val="-4"/>
          <w:kern w:val="0"/>
          <w:sz w:val="32"/>
          <w:szCs w:val="32"/>
        </w:rPr>
        <w:t>对试验结果进行分析，安全性评估和</w:t>
      </w:r>
      <w:r w:rsidRPr="00457BA9">
        <w:rPr>
          <w:rFonts w:eastAsia="仿宋_GB2312"/>
          <w:spacing w:val="-4"/>
          <w:kern w:val="0"/>
          <w:sz w:val="32"/>
          <w:szCs w:val="32"/>
        </w:rPr>
        <w:t>/</w:t>
      </w:r>
      <w:r w:rsidRPr="00457BA9">
        <w:rPr>
          <w:rFonts w:eastAsia="仿宋_GB2312" w:hint="eastAsia"/>
          <w:spacing w:val="-4"/>
          <w:kern w:val="0"/>
          <w:sz w:val="32"/>
          <w:szCs w:val="32"/>
        </w:rPr>
        <w:t>或研究；</w:t>
      </w:r>
      <w:r w:rsidRPr="00457BA9">
        <w:rPr>
          <w:rFonts w:eastAsia="仿宋_GB2312"/>
          <w:kern w:val="0"/>
          <w:sz w:val="32"/>
          <w:szCs w:val="32"/>
        </w:rPr>
        <w:t>6</w:t>
      </w:r>
      <w:r w:rsidRPr="00457BA9">
        <w:rPr>
          <w:rFonts w:eastAsia="仿宋_GB2312" w:hint="eastAsia"/>
          <w:kern w:val="0"/>
          <w:sz w:val="32"/>
          <w:szCs w:val="32"/>
        </w:rPr>
        <w:t>）对药品与所用包装材料的相容性进行总结，得出包装系统是否适用于药品的结论。玻璃容器相容性研究决策树可参见附件</w:t>
      </w:r>
      <w:r w:rsidRPr="00457BA9">
        <w:rPr>
          <w:rFonts w:eastAsia="仿宋_GB2312" w:hint="eastAsia"/>
          <w:kern w:val="0"/>
          <w:sz w:val="32"/>
          <w:szCs w:val="32"/>
        </w:rPr>
        <w:t>4</w:t>
      </w:r>
      <w:r w:rsidRPr="00457BA9">
        <w:rPr>
          <w:rFonts w:eastAsia="仿宋_GB2312" w:hint="eastAsia"/>
          <w:kern w:val="0"/>
          <w:sz w:val="32"/>
          <w:szCs w:val="32"/>
        </w:rPr>
        <w:t>。</w:t>
      </w:r>
    </w:p>
    <w:p w:rsidR="00F55F1C" w:rsidRPr="0014509E" w:rsidRDefault="00F55F1C" w:rsidP="00F55F1C">
      <w:pPr>
        <w:autoSpaceDE w:val="0"/>
        <w:autoSpaceDN w:val="0"/>
        <w:adjustRightInd w:val="0"/>
        <w:snapToGrid w:val="0"/>
        <w:spacing w:line="620" w:lineRule="exact"/>
        <w:ind w:firstLineChars="200" w:firstLine="640"/>
        <w:outlineLvl w:val="0"/>
        <w:rPr>
          <w:rFonts w:ascii="黑体" w:eastAsia="黑体" w:hAnsi="黑体" w:cs="华文仿宋"/>
          <w:kern w:val="0"/>
          <w:sz w:val="32"/>
          <w:szCs w:val="32"/>
        </w:rPr>
      </w:pPr>
      <w:r w:rsidRPr="0014509E">
        <w:rPr>
          <w:rFonts w:ascii="黑体" w:eastAsia="黑体" w:hAnsi="黑体" w:cs="华文仿宋" w:hint="eastAsia"/>
          <w:kern w:val="0"/>
          <w:sz w:val="32"/>
          <w:szCs w:val="32"/>
        </w:rPr>
        <w:t>三、</w:t>
      </w:r>
      <w:r w:rsidRPr="0014509E">
        <w:rPr>
          <w:rFonts w:ascii="黑体" w:eastAsia="黑体" w:hAnsi="黑体" w:hint="eastAsia"/>
          <w:sz w:val="32"/>
          <w:szCs w:val="32"/>
        </w:rPr>
        <w:t>相容性研究的主要内容</w:t>
      </w:r>
      <w:r w:rsidRPr="0014509E">
        <w:rPr>
          <w:rFonts w:ascii="黑体" w:eastAsia="黑体" w:hAnsi="黑体" w:cs="华文仿宋" w:hint="eastAsia"/>
          <w:kern w:val="0"/>
          <w:sz w:val="32"/>
          <w:szCs w:val="32"/>
        </w:rPr>
        <w:t>与分析方法</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在进行注射剂与玻璃容器的相容性研究前，需要了解玻璃的</w:t>
      </w:r>
      <w:r w:rsidRPr="00457BA9">
        <w:rPr>
          <w:rFonts w:eastAsia="仿宋_GB2312" w:hint="eastAsia"/>
          <w:kern w:val="0"/>
          <w:sz w:val="32"/>
          <w:szCs w:val="32"/>
        </w:rPr>
        <w:lastRenderedPageBreak/>
        <w:t>组成成分、生产工艺，内表面处理方式等信息，然后在此基础之上进行后续的相容性研究。</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这里的相容性研究包括模拟试验和相互作用研究。</w:t>
      </w:r>
    </w:p>
    <w:p w:rsidR="00F55F1C" w:rsidRPr="00457BA9" w:rsidRDefault="00F55F1C" w:rsidP="00F55F1C">
      <w:pPr>
        <w:autoSpaceDE w:val="0"/>
        <w:autoSpaceDN w:val="0"/>
        <w:adjustRightInd w:val="0"/>
        <w:snapToGrid w:val="0"/>
        <w:spacing w:line="620" w:lineRule="exact"/>
        <w:ind w:firstLineChars="200" w:firstLine="640"/>
        <w:outlineLvl w:val="0"/>
        <w:rPr>
          <w:rFonts w:eastAsia="楷体_GB2312"/>
          <w:bCs/>
          <w:kern w:val="0"/>
          <w:sz w:val="32"/>
          <w:szCs w:val="32"/>
        </w:rPr>
      </w:pPr>
      <w:r w:rsidRPr="00457BA9">
        <w:rPr>
          <w:rFonts w:eastAsia="楷体_GB2312"/>
          <w:bCs/>
          <w:kern w:val="0"/>
          <w:sz w:val="32"/>
          <w:szCs w:val="32"/>
        </w:rPr>
        <w:t xml:space="preserve">3.1 </w:t>
      </w:r>
      <w:r w:rsidRPr="00457BA9">
        <w:rPr>
          <w:rFonts w:eastAsia="楷体_GB2312" w:hint="eastAsia"/>
          <w:bCs/>
          <w:kern w:val="0"/>
          <w:sz w:val="32"/>
          <w:szCs w:val="32"/>
        </w:rPr>
        <w:t>模拟试验</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模拟试验的主要目的是预测玻璃容器</w:t>
      </w:r>
      <w:proofErr w:type="gramStart"/>
      <w:r w:rsidRPr="00457BA9">
        <w:rPr>
          <w:rFonts w:eastAsia="仿宋_GB2312" w:hint="eastAsia"/>
          <w:kern w:val="0"/>
          <w:sz w:val="32"/>
          <w:szCs w:val="32"/>
        </w:rPr>
        <w:t>发生脱片的</w:t>
      </w:r>
      <w:proofErr w:type="gramEnd"/>
      <w:r w:rsidRPr="00457BA9">
        <w:rPr>
          <w:rFonts w:eastAsia="仿宋_GB2312" w:hint="eastAsia"/>
          <w:kern w:val="0"/>
          <w:sz w:val="32"/>
          <w:szCs w:val="32"/>
        </w:rPr>
        <w:t>可能性，通常采用模拟药品的溶剂，在较剧烈的条件下，对玻璃包装进行的试验研究。</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如果注射剂存在多种包装规格，试验研究容器宜首选比表面积最大的玻璃容器，应注意，如果是不同的供应商和（或）不同材质的玻璃包装，应分别进行试验。</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模拟溶剂：首选</w:t>
      </w:r>
      <w:proofErr w:type="gramStart"/>
      <w:r w:rsidRPr="00457BA9">
        <w:rPr>
          <w:rFonts w:eastAsia="仿宋_GB2312" w:hint="eastAsia"/>
          <w:kern w:val="0"/>
          <w:sz w:val="32"/>
          <w:szCs w:val="32"/>
        </w:rPr>
        <w:t>含目标</w:t>
      </w:r>
      <w:proofErr w:type="gramEnd"/>
      <w:r w:rsidRPr="00457BA9">
        <w:rPr>
          <w:rFonts w:eastAsia="仿宋_GB2312" w:hint="eastAsia"/>
          <w:kern w:val="0"/>
          <w:sz w:val="32"/>
          <w:szCs w:val="32"/>
        </w:rPr>
        <w:t>药物的注射剂，如果药物对分析方法产生干扰，可选择与制剂具有相同或相似理化性质的模拟溶剂，重点考虑溶液的</w:t>
      </w:r>
      <w:r w:rsidRPr="00457BA9">
        <w:rPr>
          <w:rFonts w:eastAsia="仿宋_GB2312"/>
          <w:kern w:val="0"/>
          <w:sz w:val="32"/>
          <w:szCs w:val="32"/>
        </w:rPr>
        <w:t>pH</w:t>
      </w:r>
      <w:r w:rsidRPr="00457BA9">
        <w:rPr>
          <w:rFonts w:eastAsia="仿宋_GB2312" w:hint="eastAsia"/>
          <w:kern w:val="0"/>
          <w:sz w:val="32"/>
          <w:szCs w:val="32"/>
        </w:rPr>
        <w:t>、极性及离子强度、离子种类等，如不含药物的空白制剂。模拟条件：模拟试验需在较剧烈的条件下进行。应结合药品在生产、贮存、运输及使用过程中的最极端条件，并选择更强烈的试验条件，如加热、回流或超声、振荡等。</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除了选择以上模拟溶剂和模拟条件以外，也可参考美国药典</w:t>
      </w:r>
      <w:r w:rsidRPr="00457BA9">
        <w:rPr>
          <w:rFonts w:eastAsia="仿宋_GB2312"/>
          <w:kern w:val="0"/>
          <w:sz w:val="32"/>
          <w:szCs w:val="32"/>
        </w:rPr>
        <w:t>&lt;1660&gt;</w:t>
      </w:r>
      <w:r w:rsidRPr="00457BA9">
        <w:rPr>
          <w:rFonts w:eastAsia="仿宋_GB2312" w:hint="eastAsia"/>
          <w:kern w:val="0"/>
          <w:sz w:val="32"/>
          <w:szCs w:val="32"/>
        </w:rPr>
        <w:t>玻璃内表面耐受性评估指南中</w:t>
      </w:r>
      <w:proofErr w:type="gramStart"/>
      <w:r w:rsidRPr="00457BA9">
        <w:rPr>
          <w:rFonts w:eastAsia="仿宋_GB2312" w:hint="eastAsia"/>
          <w:kern w:val="0"/>
          <w:sz w:val="32"/>
          <w:szCs w:val="32"/>
        </w:rPr>
        <w:t>加速脱片试验</w:t>
      </w:r>
      <w:proofErr w:type="gramEnd"/>
      <w:r w:rsidRPr="00457BA9">
        <w:rPr>
          <w:rFonts w:eastAsia="仿宋_GB2312" w:hint="eastAsia"/>
          <w:kern w:val="0"/>
          <w:sz w:val="32"/>
          <w:szCs w:val="32"/>
        </w:rPr>
        <w:t>方法（如附件</w:t>
      </w:r>
      <w:r w:rsidRPr="00457BA9">
        <w:rPr>
          <w:rFonts w:eastAsia="仿宋_GB2312" w:hint="eastAsia"/>
          <w:kern w:val="0"/>
          <w:sz w:val="32"/>
          <w:szCs w:val="32"/>
        </w:rPr>
        <w:t>5</w:t>
      </w:r>
      <w:r w:rsidRPr="00457BA9">
        <w:rPr>
          <w:rFonts w:eastAsia="仿宋_GB2312" w:hint="eastAsia"/>
          <w:kern w:val="0"/>
          <w:sz w:val="32"/>
          <w:szCs w:val="32"/>
        </w:rPr>
        <w:t>所示），并结合药品的</w:t>
      </w:r>
      <w:r w:rsidRPr="00457BA9">
        <w:rPr>
          <w:rFonts w:eastAsia="仿宋_GB2312" w:hint="eastAsia"/>
          <w:kern w:val="0"/>
          <w:sz w:val="32"/>
          <w:szCs w:val="32"/>
        </w:rPr>
        <w:t>pH</w:t>
      </w:r>
      <w:r w:rsidRPr="00457BA9">
        <w:rPr>
          <w:rFonts w:eastAsia="仿宋_GB2312" w:hint="eastAsia"/>
          <w:kern w:val="0"/>
          <w:sz w:val="32"/>
          <w:szCs w:val="32"/>
        </w:rPr>
        <w:t>值、离子强度等因素，选择模拟溶剂和模拟条件。</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应对玻璃容器内表面进行检查，并对侵蚀后的模拟溶液进行</w:t>
      </w:r>
      <w:r w:rsidRPr="00457BA9">
        <w:rPr>
          <w:rFonts w:eastAsia="仿宋_GB2312" w:hint="eastAsia"/>
          <w:kern w:val="0"/>
          <w:sz w:val="32"/>
          <w:szCs w:val="32"/>
        </w:rPr>
        <w:lastRenderedPageBreak/>
        <w:t>检测分析，以预测玻璃内表面腐蚀以及</w:t>
      </w:r>
      <w:proofErr w:type="gramStart"/>
      <w:r w:rsidRPr="00457BA9">
        <w:rPr>
          <w:rFonts w:eastAsia="仿宋_GB2312"/>
          <w:kern w:val="0"/>
          <w:sz w:val="32"/>
          <w:szCs w:val="32"/>
        </w:rPr>
        <w:t>玻璃</w:t>
      </w:r>
      <w:r w:rsidRPr="00457BA9">
        <w:rPr>
          <w:rFonts w:eastAsia="仿宋_GB2312" w:hint="eastAsia"/>
          <w:kern w:val="0"/>
          <w:sz w:val="32"/>
          <w:szCs w:val="32"/>
        </w:rPr>
        <w:t>脱片的</w:t>
      </w:r>
      <w:proofErr w:type="gramEnd"/>
      <w:r w:rsidRPr="00457BA9">
        <w:rPr>
          <w:rFonts w:eastAsia="仿宋_GB2312" w:hint="eastAsia"/>
          <w:kern w:val="0"/>
          <w:sz w:val="32"/>
          <w:szCs w:val="32"/>
        </w:rPr>
        <w:t>倾向，可以通过观察玻璃表面的侵蚀痕迹进行初步判断，其他测定指标包括试验液中</w:t>
      </w:r>
      <w:r w:rsidRPr="00457BA9">
        <w:rPr>
          <w:rFonts w:eastAsia="仿宋_GB2312" w:hint="eastAsia"/>
          <w:kern w:val="0"/>
          <w:sz w:val="32"/>
          <w:szCs w:val="32"/>
        </w:rPr>
        <w:t>Si</w:t>
      </w:r>
      <w:r w:rsidRPr="00457BA9">
        <w:rPr>
          <w:rFonts w:eastAsia="仿宋_GB2312" w:hint="eastAsia"/>
          <w:kern w:val="0"/>
          <w:sz w:val="32"/>
          <w:szCs w:val="32"/>
        </w:rPr>
        <w:t>元素浓度增加量、</w:t>
      </w:r>
      <w:r w:rsidRPr="00457BA9">
        <w:rPr>
          <w:rFonts w:eastAsia="仿宋_GB2312" w:hint="eastAsia"/>
          <w:kern w:val="0"/>
          <w:sz w:val="32"/>
          <w:szCs w:val="32"/>
        </w:rPr>
        <w:t>Si/B</w:t>
      </w:r>
      <w:r w:rsidRPr="00457BA9">
        <w:rPr>
          <w:rFonts w:eastAsia="仿宋_GB2312" w:hint="eastAsia"/>
          <w:kern w:val="0"/>
          <w:sz w:val="32"/>
          <w:szCs w:val="32"/>
        </w:rPr>
        <w:t>或</w:t>
      </w:r>
      <w:r w:rsidRPr="00457BA9">
        <w:rPr>
          <w:rFonts w:eastAsia="仿宋_GB2312" w:hint="eastAsia"/>
          <w:kern w:val="0"/>
          <w:sz w:val="32"/>
          <w:szCs w:val="32"/>
        </w:rPr>
        <w:t>Si/Al</w:t>
      </w:r>
      <w:r w:rsidRPr="00457BA9">
        <w:rPr>
          <w:rFonts w:eastAsia="仿宋_GB2312" w:hint="eastAsia"/>
          <w:kern w:val="0"/>
          <w:sz w:val="32"/>
          <w:szCs w:val="32"/>
        </w:rPr>
        <w:t>比值的增加量、可见和不可见微粒数增加量，</w:t>
      </w:r>
      <w:r w:rsidRPr="00457BA9">
        <w:rPr>
          <w:rFonts w:eastAsia="仿宋_GB2312" w:hint="eastAsia"/>
          <w:kern w:val="0"/>
          <w:sz w:val="32"/>
          <w:szCs w:val="32"/>
        </w:rPr>
        <w:t>pH</w:t>
      </w:r>
      <w:r w:rsidRPr="00457BA9">
        <w:rPr>
          <w:rFonts w:eastAsia="仿宋_GB2312" w:hint="eastAsia"/>
          <w:kern w:val="0"/>
          <w:sz w:val="32"/>
          <w:szCs w:val="32"/>
        </w:rPr>
        <w:t>值上升程度，以及其他多种离子的变化量等。</w:t>
      </w:r>
    </w:p>
    <w:p w:rsidR="00F55F1C" w:rsidRPr="00457BA9" w:rsidRDefault="00F55F1C" w:rsidP="00F55F1C">
      <w:pPr>
        <w:autoSpaceDE w:val="0"/>
        <w:autoSpaceDN w:val="0"/>
        <w:adjustRightInd w:val="0"/>
        <w:snapToGrid w:val="0"/>
        <w:spacing w:line="620" w:lineRule="exact"/>
        <w:ind w:firstLineChars="200" w:firstLine="640"/>
        <w:outlineLvl w:val="0"/>
        <w:rPr>
          <w:rFonts w:eastAsia="楷体_GB2312"/>
          <w:bCs/>
          <w:kern w:val="0"/>
          <w:sz w:val="32"/>
          <w:szCs w:val="32"/>
        </w:rPr>
      </w:pPr>
      <w:r w:rsidRPr="00457BA9">
        <w:rPr>
          <w:rFonts w:eastAsia="楷体_GB2312"/>
          <w:bCs/>
          <w:kern w:val="0"/>
          <w:sz w:val="32"/>
          <w:szCs w:val="32"/>
        </w:rPr>
        <w:t xml:space="preserve">3.2 </w:t>
      </w:r>
      <w:r w:rsidRPr="00457BA9">
        <w:rPr>
          <w:rFonts w:eastAsia="楷体_GB2312" w:hint="eastAsia"/>
          <w:bCs/>
          <w:kern w:val="0"/>
          <w:sz w:val="32"/>
          <w:szCs w:val="32"/>
        </w:rPr>
        <w:t>相互作用研究</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进行注射剂与玻璃容器相互作用研究时，应采用拟上市的处方工艺和包装容器生产的制剂，并将玻璃容器以及注射剂均作为试验样品，应</w:t>
      </w:r>
      <w:r w:rsidRPr="00457BA9">
        <w:rPr>
          <w:rFonts w:eastAsia="仿宋_GB2312"/>
          <w:kern w:val="0"/>
          <w:sz w:val="32"/>
          <w:szCs w:val="32"/>
        </w:rPr>
        <w:t>采用至少</w:t>
      </w:r>
      <w:r w:rsidRPr="00457BA9">
        <w:rPr>
          <w:rFonts w:eastAsia="仿宋_GB2312" w:hint="eastAsia"/>
          <w:kern w:val="0"/>
          <w:sz w:val="32"/>
          <w:szCs w:val="32"/>
        </w:rPr>
        <w:t>3</w:t>
      </w:r>
      <w:r w:rsidRPr="00457BA9">
        <w:rPr>
          <w:rFonts w:eastAsia="仿宋_GB2312" w:hint="eastAsia"/>
          <w:kern w:val="0"/>
          <w:sz w:val="32"/>
          <w:szCs w:val="32"/>
        </w:rPr>
        <w:t>批制剂与</w:t>
      </w:r>
      <w:r w:rsidRPr="00457BA9">
        <w:rPr>
          <w:rFonts w:eastAsia="仿宋_GB2312" w:hint="eastAsia"/>
          <w:kern w:val="0"/>
          <w:sz w:val="32"/>
          <w:szCs w:val="32"/>
        </w:rPr>
        <w:t>1</w:t>
      </w:r>
      <w:r w:rsidRPr="00457BA9">
        <w:rPr>
          <w:rFonts w:eastAsia="仿宋_GB2312" w:hint="eastAsia"/>
          <w:kern w:val="0"/>
          <w:sz w:val="32"/>
          <w:szCs w:val="32"/>
        </w:rPr>
        <w:t>批</w:t>
      </w:r>
      <w:r w:rsidRPr="00457BA9">
        <w:rPr>
          <w:rFonts w:eastAsia="仿宋_GB2312"/>
          <w:kern w:val="0"/>
          <w:sz w:val="32"/>
          <w:szCs w:val="32"/>
        </w:rPr>
        <w:t>包装</w:t>
      </w:r>
      <w:r w:rsidRPr="00457BA9">
        <w:rPr>
          <w:rFonts w:eastAsia="仿宋_GB2312" w:hint="eastAsia"/>
          <w:kern w:val="0"/>
          <w:sz w:val="32"/>
          <w:szCs w:val="32"/>
        </w:rPr>
        <w:t>容器进行研究。</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考察条件需充分考虑药品在贮存、运输及使用过程中可能面临的最极端条件。考察时间点的设置应基于对玻璃包装容器性质的认识、包装容器与药品相互影响的趋势而设置，一般应不少于（</w:t>
      </w:r>
      <w:r w:rsidRPr="00457BA9">
        <w:rPr>
          <w:rFonts w:eastAsia="仿宋_GB2312"/>
          <w:kern w:val="0"/>
          <w:sz w:val="32"/>
          <w:szCs w:val="32"/>
        </w:rPr>
        <w:t>0</w:t>
      </w:r>
      <w:r w:rsidRPr="00457BA9">
        <w:rPr>
          <w:rFonts w:eastAsia="仿宋_GB2312"/>
          <w:kern w:val="0"/>
          <w:sz w:val="32"/>
          <w:szCs w:val="32"/>
        </w:rPr>
        <w:t>、</w:t>
      </w:r>
      <w:r w:rsidRPr="00457BA9">
        <w:rPr>
          <w:rFonts w:eastAsia="仿宋_GB2312"/>
          <w:kern w:val="0"/>
          <w:sz w:val="32"/>
          <w:szCs w:val="32"/>
        </w:rPr>
        <w:t>3</w:t>
      </w:r>
      <w:r w:rsidRPr="00457BA9">
        <w:rPr>
          <w:rFonts w:eastAsia="仿宋_GB2312"/>
          <w:kern w:val="0"/>
          <w:sz w:val="32"/>
          <w:szCs w:val="32"/>
        </w:rPr>
        <w:t>、</w:t>
      </w:r>
      <w:r w:rsidRPr="00457BA9">
        <w:rPr>
          <w:rFonts w:eastAsia="仿宋_GB2312"/>
          <w:kern w:val="0"/>
          <w:sz w:val="32"/>
          <w:szCs w:val="32"/>
        </w:rPr>
        <w:t>6</w:t>
      </w:r>
      <w:r w:rsidRPr="00457BA9">
        <w:rPr>
          <w:rFonts w:eastAsia="仿宋_GB2312"/>
          <w:kern w:val="0"/>
          <w:sz w:val="32"/>
          <w:szCs w:val="32"/>
        </w:rPr>
        <w:t>个月）三个</w:t>
      </w:r>
      <w:r w:rsidRPr="00457BA9">
        <w:rPr>
          <w:rFonts w:eastAsia="仿宋_GB2312" w:hint="eastAsia"/>
          <w:kern w:val="0"/>
          <w:sz w:val="32"/>
          <w:szCs w:val="32"/>
        </w:rPr>
        <w:t>试验</w:t>
      </w:r>
      <w:r w:rsidRPr="00457BA9">
        <w:rPr>
          <w:rFonts w:eastAsia="仿宋_GB2312"/>
          <w:kern w:val="0"/>
          <w:sz w:val="32"/>
          <w:szCs w:val="32"/>
        </w:rPr>
        <w:t>点</w:t>
      </w:r>
      <w:r w:rsidRPr="00457BA9">
        <w:rPr>
          <w:rFonts w:eastAsia="仿宋_GB2312" w:hint="eastAsia"/>
          <w:kern w:val="0"/>
          <w:sz w:val="32"/>
          <w:szCs w:val="32"/>
        </w:rPr>
        <w:t>。通常</w:t>
      </w:r>
      <w:proofErr w:type="gramStart"/>
      <w:r w:rsidRPr="00457BA9">
        <w:rPr>
          <w:rFonts w:eastAsia="仿宋_GB2312" w:hint="eastAsia"/>
          <w:kern w:val="0"/>
          <w:sz w:val="32"/>
          <w:szCs w:val="32"/>
        </w:rPr>
        <w:t>应</w:t>
      </w:r>
      <w:r w:rsidRPr="00457BA9">
        <w:rPr>
          <w:rFonts w:eastAsia="仿宋_GB2312"/>
          <w:kern w:val="0"/>
          <w:sz w:val="32"/>
          <w:szCs w:val="32"/>
        </w:rPr>
        <w:t>选择</w:t>
      </w:r>
      <w:r w:rsidRPr="00457BA9">
        <w:rPr>
          <w:rFonts w:eastAsia="仿宋_GB2312" w:hint="eastAsia"/>
          <w:kern w:val="0"/>
          <w:sz w:val="32"/>
          <w:szCs w:val="32"/>
        </w:rPr>
        <w:t>按正常</w:t>
      </w:r>
      <w:proofErr w:type="gramEnd"/>
      <w:r w:rsidRPr="00457BA9">
        <w:rPr>
          <w:rFonts w:eastAsia="仿宋_GB2312" w:hint="eastAsia"/>
          <w:kern w:val="0"/>
          <w:sz w:val="32"/>
          <w:szCs w:val="32"/>
        </w:rPr>
        <w:t>条件生产、包装、放置的注射剂的包装</w:t>
      </w:r>
      <w:r w:rsidRPr="00457BA9">
        <w:rPr>
          <w:rFonts w:eastAsia="仿宋_GB2312"/>
          <w:kern w:val="0"/>
          <w:sz w:val="32"/>
          <w:szCs w:val="32"/>
        </w:rPr>
        <w:t>容器</w:t>
      </w:r>
      <w:r w:rsidRPr="00457BA9">
        <w:rPr>
          <w:rFonts w:eastAsia="仿宋_GB2312" w:hint="eastAsia"/>
          <w:kern w:val="0"/>
          <w:sz w:val="32"/>
          <w:szCs w:val="32"/>
        </w:rPr>
        <w:t>（而不是各包装组件）进行</w:t>
      </w:r>
      <w:r w:rsidRPr="00457BA9">
        <w:rPr>
          <w:rFonts w:eastAsia="仿宋_GB2312"/>
          <w:kern w:val="0"/>
          <w:sz w:val="32"/>
          <w:szCs w:val="32"/>
        </w:rPr>
        <w:t>相互作用研究</w:t>
      </w:r>
      <w:r w:rsidRPr="00457BA9">
        <w:rPr>
          <w:rFonts w:eastAsia="仿宋_GB2312" w:hint="eastAsia"/>
          <w:kern w:val="0"/>
          <w:sz w:val="32"/>
          <w:szCs w:val="32"/>
        </w:rPr>
        <w:t>，可参考加速稳定性试验以及长期稳定性试验的试验条件（温度和时间），至少应包括起点和终点，中间点可适当调整，例如，在考察离子浓度的变化情况时，为了使离子浓度</w:t>
      </w:r>
      <w:r w:rsidRPr="00457BA9">
        <w:rPr>
          <w:rFonts w:eastAsia="仿宋_GB2312" w:hint="eastAsia"/>
          <w:kern w:val="0"/>
          <w:sz w:val="32"/>
          <w:szCs w:val="32"/>
        </w:rPr>
        <w:t>-</w:t>
      </w:r>
      <w:r w:rsidRPr="00457BA9">
        <w:rPr>
          <w:rFonts w:eastAsia="仿宋_GB2312" w:hint="eastAsia"/>
          <w:kern w:val="0"/>
          <w:sz w:val="32"/>
          <w:szCs w:val="32"/>
        </w:rPr>
        <w:t>时间曲线的斜率变化结果更具可评价性，可适当增加中间取样点。为了尽可能保证溶液与玻璃容器底部</w:t>
      </w:r>
      <w:proofErr w:type="gramStart"/>
      <w:r w:rsidRPr="00457BA9">
        <w:rPr>
          <w:rFonts w:eastAsia="仿宋_GB2312" w:hint="eastAsia"/>
          <w:kern w:val="0"/>
          <w:sz w:val="32"/>
          <w:szCs w:val="32"/>
        </w:rPr>
        <w:t>应力环部位</w:t>
      </w:r>
      <w:proofErr w:type="gramEnd"/>
      <w:r w:rsidRPr="00457BA9">
        <w:rPr>
          <w:rFonts w:eastAsia="仿宋_GB2312" w:hint="eastAsia"/>
          <w:kern w:val="0"/>
          <w:sz w:val="32"/>
          <w:szCs w:val="32"/>
        </w:rPr>
        <w:t>和肩部接触，对于注射液，可采用容器正立和倒置的方式进行分别试验。</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在对不同浓度的注射剂进行研究时，也可采用</w:t>
      </w:r>
      <w:r w:rsidRPr="00457BA9">
        <w:rPr>
          <w:rFonts w:eastAsia="仿宋_GB2312" w:hint="eastAsia"/>
          <w:kern w:val="0"/>
          <w:sz w:val="32"/>
          <w:szCs w:val="32"/>
        </w:rPr>
        <w:t>ICH</w:t>
      </w:r>
      <w:r w:rsidRPr="00457BA9">
        <w:rPr>
          <w:rFonts w:eastAsia="仿宋_GB2312" w:hint="eastAsia"/>
          <w:kern w:val="0"/>
          <w:sz w:val="32"/>
          <w:szCs w:val="32"/>
        </w:rPr>
        <w:t>稳定性指</w:t>
      </w:r>
      <w:r w:rsidRPr="00457BA9">
        <w:rPr>
          <w:rFonts w:eastAsia="仿宋_GB2312" w:hint="eastAsia"/>
          <w:kern w:val="0"/>
          <w:sz w:val="32"/>
          <w:szCs w:val="32"/>
        </w:rPr>
        <w:lastRenderedPageBreak/>
        <w:t>导原则中推荐的括号法或矩阵法进行试验。</w:t>
      </w:r>
    </w:p>
    <w:p w:rsidR="00F55F1C" w:rsidRPr="00457BA9" w:rsidRDefault="00F55F1C" w:rsidP="00F55F1C">
      <w:pPr>
        <w:autoSpaceDE w:val="0"/>
        <w:autoSpaceDN w:val="0"/>
        <w:adjustRightInd w:val="0"/>
        <w:snapToGrid w:val="0"/>
        <w:spacing w:line="620" w:lineRule="exact"/>
        <w:ind w:firstLineChars="200" w:firstLine="640"/>
        <w:outlineLvl w:val="0"/>
        <w:rPr>
          <w:rFonts w:eastAsia="楷体_GB2312"/>
          <w:bCs/>
          <w:kern w:val="0"/>
          <w:sz w:val="32"/>
          <w:szCs w:val="32"/>
        </w:rPr>
      </w:pPr>
      <w:r w:rsidRPr="00457BA9">
        <w:rPr>
          <w:rFonts w:eastAsia="楷体_GB2312"/>
          <w:bCs/>
          <w:kern w:val="0"/>
          <w:sz w:val="32"/>
          <w:szCs w:val="32"/>
        </w:rPr>
        <w:t xml:space="preserve">3.2.1 </w:t>
      </w:r>
      <w:r w:rsidRPr="00457BA9">
        <w:rPr>
          <w:rFonts w:eastAsia="楷体_GB2312" w:hint="eastAsia"/>
          <w:bCs/>
          <w:kern w:val="0"/>
          <w:sz w:val="32"/>
          <w:szCs w:val="32"/>
        </w:rPr>
        <w:t>玻璃容器对药品质量的影响</w:t>
      </w:r>
    </w:p>
    <w:p w:rsidR="00F55F1C" w:rsidRPr="00457BA9" w:rsidRDefault="00F55F1C" w:rsidP="00F55F1C">
      <w:pPr>
        <w:autoSpaceDE w:val="0"/>
        <w:autoSpaceDN w:val="0"/>
        <w:adjustRightInd w:val="0"/>
        <w:snapToGrid w:val="0"/>
        <w:spacing w:line="620" w:lineRule="exact"/>
        <w:ind w:firstLineChars="200" w:firstLine="640"/>
        <w:outlineLvl w:val="0"/>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457BA9">
          <w:rPr>
            <w:rFonts w:eastAsia="仿宋_GB2312"/>
            <w:kern w:val="0"/>
            <w:sz w:val="32"/>
            <w:szCs w:val="32"/>
          </w:rPr>
          <w:t>3.2.1</w:t>
        </w:r>
      </w:smartTag>
      <w:r w:rsidRPr="00457BA9">
        <w:rPr>
          <w:rFonts w:eastAsia="仿宋_GB2312"/>
          <w:kern w:val="0"/>
          <w:sz w:val="32"/>
          <w:szCs w:val="32"/>
        </w:rPr>
        <w:t xml:space="preserve">.1 </w:t>
      </w:r>
      <w:r w:rsidRPr="00457BA9">
        <w:rPr>
          <w:rFonts w:eastAsia="仿宋_GB2312" w:hint="eastAsia"/>
          <w:kern w:val="0"/>
          <w:sz w:val="32"/>
          <w:szCs w:val="32"/>
        </w:rPr>
        <w:t>药品常规检查项目</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在不同的考察条件和时间点对药品进行检查时，应重点关注玻璃容器及其添加物质对药物稳定性的影响，如对药品</w:t>
      </w:r>
      <w:r w:rsidRPr="00457BA9">
        <w:rPr>
          <w:rFonts w:eastAsia="仿宋_GB2312"/>
          <w:kern w:val="0"/>
          <w:sz w:val="32"/>
          <w:szCs w:val="32"/>
        </w:rPr>
        <w:t>pH</w:t>
      </w:r>
      <w:r w:rsidRPr="00457BA9">
        <w:rPr>
          <w:rFonts w:eastAsia="仿宋_GB2312" w:hint="eastAsia"/>
          <w:kern w:val="0"/>
          <w:sz w:val="32"/>
          <w:szCs w:val="32"/>
        </w:rPr>
        <w:t>值、溶液澄清度与颜色、可见异物、不溶性微粒、重金属、有关物质和含量等的影响，可参考药品标准进行检验。对</w:t>
      </w:r>
      <w:r w:rsidRPr="00457BA9">
        <w:rPr>
          <w:rFonts w:eastAsia="仿宋_GB2312"/>
          <w:kern w:val="0"/>
          <w:sz w:val="32"/>
          <w:szCs w:val="32"/>
        </w:rPr>
        <w:t>pH</w:t>
      </w:r>
      <w:r w:rsidRPr="00457BA9">
        <w:rPr>
          <w:rFonts w:eastAsia="仿宋_GB2312" w:hint="eastAsia"/>
          <w:kern w:val="0"/>
          <w:sz w:val="32"/>
          <w:szCs w:val="32"/>
        </w:rPr>
        <w:t>值较敏感的药品，应重点关注从玻璃中浸出的碱金属离子等成分对药品稳定性的影响，如药品</w:t>
      </w:r>
      <w:r w:rsidRPr="00457BA9">
        <w:rPr>
          <w:rFonts w:eastAsia="仿宋_GB2312"/>
          <w:kern w:val="0"/>
          <w:sz w:val="32"/>
          <w:szCs w:val="32"/>
        </w:rPr>
        <w:t>pH</w:t>
      </w:r>
      <w:r w:rsidRPr="00457BA9">
        <w:rPr>
          <w:rFonts w:eastAsia="仿宋_GB2312" w:hint="eastAsia"/>
          <w:kern w:val="0"/>
          <w:sz w:val="32"/>
          <w:szCs w:val="32"/>
        </w:rPr>
        <w:t>值、药液颜色的变化情况、可见异物的出现等。</w:t>
      </w:r>
    </w:p>
    <w:p w:rsidR="00F55F1C" w:rsidRPr="00457BA9" w:rsidRDefault="00F55F1C" w:rsidP="00F55F1C">
      <w:pPr>
        <w:autoSpaceDE w:val="0"/>
        <w:autoSpaceDN w:val="0"/>
        <w:adjustRightInd w:val="0"/>
        <w:snapToGrid w:val="0"/>
        <w:spacing w:line="620" w:lineRule="exact"/>
        <w:ind w:firstLineChars="200" w:firstLine="640"/>
        <w:outlineLvl w:val="0"/>
        <w:rPr>
          <w:rFonts w:eastAsia="仿宋_GB2312"/>
          <w:kern w:val="0"/>
          <w:sz w:val="32"/>
          <w:szCs w:val="32"/>
        </w:rPr>
      </w:pPr>
      <w:r w:rsidRPr="00457BA9">
        <w:rPr>
          <w:rFonts w:eastAsia="仿宋_GB2312"/>
          <w:kern w:val="0"/>
          <w:sz w:val="32"/>
          <w:szCs w:val="32"/>
        </w:rPr>
        <w:t xml:space="preserve">3.2.1.2 </w:t>
      </w:r>
      <w:r w:rsidRPr="00457BA9">
        <w:rPr>
          <w:rFonts w:eastAsia="仿宋_GB2312" w:hint="eastAsia"/>
          <w:kern w:val="0"/>
          <w:sz w:val="32"/>
          <w:szCs w:val="32"/>
        </w:rPr>
        <w:t>迁移试验</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玻璃包装容器中组分多为无机盐。迁移入注射剂药液的常见元素包括</w:t>
      </w:r>
      <w:r w:rsidRPr="00457BA9">
        <w:rPr>
          <w:rFonts w:eastAsia="仿宋_GB2312"/>
          <w:kern w:val="0"/>
          <w:sz w:val="32"/>
          <w:szCs w:val="32"/>
        </w:rPr>
        <w:t>Si</w:t>
      </w:r>
      <w:r w:rsidRPr="00457BA9">
        <w:rPr>
          <w:rFonts w:eastAsia="仿宋_GB2312" w:hint="eastAsia"/>
          <w:kern w:val="0"/>
          <w:sz w:val="32"/>
          <w:szCs w:val="32"/>
        </w:rPr>
        <w:t>、</w:t>
      </w:r>
      <w:r w:rsidRPr="00457BA9">
        <w:rPr>
          <w:rFonts w:eastAsia="仿宋_GB2312"/>
          <w:kern w:val="0"/>
          <w:sz w:val="32"/>
          <w:szCs w:val="32"/>
        </w:rPr>
        <w:t>Na</w:t>
      </w:r>
      <w:r w:rsidRPr="00457BA9">
        <w:rPr>
          <w:rFonts w:eastAsia="仿宋_GB2312" w:hint="eastAsia"/>
          <w:kern w:val="0"/>
          <w:sz w:val="32"/>
          <w:szCs w:val="32"/>
        </w:rPr>
        <w:t>、</w:t>
      </w:r>
      <w:r w:rsidRPr="00457BA9">
        <w:rPr>
          <w:rFonts w:eastAsia="仿宋_GB2312"/>
          <w:kern w:val="0"/>
          <w:sz w:val="32"/>
          <w:szCs w:val="32"/>
        </w:rPr>
        <w:t>K</w:t>
      </w:r>
      <w:r w:rsidRPr="00457BA9">
        <w:rPr>
          <w:rFonts w:eastAsia="仿宋_GB2312" w:hint="eastAsia"/>
          <w:kern w:val="0"/>
          <w:sz w:val="32"/>
          <w:szCs w:val="32"/>
        </w:rPr>
        <w:t>、</w:t>
      </w:r>
      <w:r w:rsidRPr="00457BA9">
        <w:rPr>
          <w:rFonts w:eastAsia="仿宋_GB2312"/>
          <w:kern w:val="0"/>
          <w:sz w:val="32"/>
          <w:szCs w:val="32"/>
        </w:rPr>
        <w:t>Li</w:t>
      </w:r>
      <w:r w:rsidRPr="00457BA9">
        <w:rPr>
          <w:rFonts w:eastAsia="仿宋_GB2312" w:hint="eastAsia"/>
          <w:kern w:val="0"/>
          <w:sz w:val="32"/>
          <w:szCs w:val="32"/>
        </w:rPr>
        <w:t>、</w:t>
      </w:r>
      <w:r w:rsidRPr="00457BA9">
        <w:rPr>
          <w:rFonts w:eastAsia="仿宋_GB2312"/>
          <w:kern w:val="0"/>
          <w:sz w:val="32"/>
          <w:szCs w:val="32"/>
        </w:rPr>
        <w:t>Al</w:t>
      </w:r>
      <w:r w:rsidRPr="00457BA9">
        <w:rPr>
          <w:rFonts w:eastAsia="仿宋_GB2312" w:hint="eastAsia"/>
          <w:kern w:val="0"/>
          <w:sz w:val="32"/>
          <w:szCs w:val="32"/>
        </w:rPr>
        <w:t>、</w:t>
      </w:r>
      <w:r w:rsidRPr="00457BA9">
        <w:rPr>
          <w:rFonts w:eastAsia="仿宋_GB2312"/>
          <w:kern w:val="0"/>
          <w:sz w:val="32"/>
          <w:szCs w:val="32"/>
        </w:rPr>
        <w:t>Ba</w:t>
      </w:r>
      <w:r w:rsidRPr="00457BA9">
        <w:rPr>
          <w:rFonts w:eastAsia="仿宋_GB2312" w:hint="eastAsia"/>
          <w:kern w:val="0"/>
          <w:sz w:val="32"/>
          <w:szCs w:val="32"/>
        </w:rPr>
        <w:t>、</w:t>
      </w:r>
      <w:proofErr w:type="spellStart"/>
      <w:r w:rsidRPr="00457BA9">
        <w:rPr>
          <w:rFonts w:eastAsia="仿宋_GB2312"/>
          <w:kern w:val="0"/>
          <w:sz w:val="32"/>
          <w:szCs w:val="32"/>
        </w:rPr>
        <w:t>Ca</w:t>
      </w:r>
      <w:proofErr w:type="spellEnd"/>
      <w:r w:rsidRPr="00457BA9">
        <w:rPr>
          <w:rFonts w:eastAsia="仿宋_GB2312" w:hint="eastAsia"/>
          <w:kern w:val="0"/>
          <w:sz w:val="32"/>
          <w:szCs w:val="32"/>
        </w:rPr>
        <w:t>、</w:t>
      </w:r>
      <w:r w:rsidRPr="00457BA9">
        <w:rPr>
          <w:rFonts w:eastAsia="仿宋_GB2312"/>
          <w:kern w:val="0"/>
          <w:sz w:val="32"/>
          <w:szCs w:val="32"/>
        </w:rPr>
        <w:t>Mg</w:t>
      </w:r>
      <w:r w:rsidRPr="00457BA9">
        <w:rPr>
          <w:rFonts w:eastAsia="仿宋_GB2312" w:hint="eastAsia"/>
          <w:kern w:val="0"/>
          <w:sz w:val="32"/>
          <w:szCs w:val="32"/>
        </w:rPr>
        <w:t>、</w:t>
      </w:r>
      <w:r w:rsidRPr="00457BA9">
        <w:rPr>
          <w:rFonts w:eastAsia="仿宋_GB2312"/>
          <w:kern w:val="0"/>
          <w:sz w:val="32"/>
          <w:szCs w:val="32"/>
        </w:rPr>
        <w:t>B</w:t>
      </w:r>
      <w:r w:rsidRPr="00457BA9">
        <w:rPr>
          <w:rFonts w:eastAsia="仿宋_GB2312" w:hint="eastAsia"/>
          <w:kern w:val="0"/>
          <w:sz w:val="32"/>
          <w:szCs w:val="32"/>
        </w:rPr>
        <w:t>、</w:t>
      </w:r>
      <w:r w:rsidRPr="00457BA9">
        <w:rPr>
          <w:rFonts w:eastAsia="仿宋_GB2312"/>
          <w:kern w:val="0"/>
          <w:sz w:val="32"/>
          <w:szCs w:val="32"/>
        </w:rPr>
        <w:t>Fe</w:t>
      </w:r>
      <w:r w:rsidRPr="00457BA9">
        <w:rPr>
          <w:rFonts w:eastAsia="仿宋_GB2312" w:hint="eastAsia"/>
          <w:kern w:val="0"/>
          <w:sz w:val="32"/>
          <w:szCs w:val="32"/>
        </w:rPr>
        <w:t>、</w:t>
      </w:r>
      <w:r w:rsidRPr="00457BA9">
        <w:rPr>
          <w:rFonts w:eastAsia="仿宋_GB2312"/>
          <w:kern w:val="0"/>
          <w:sz w:val="32"/>
          <w:szCs w:val="32"/>
        </w:rPr>
        <w:t>Zn</w:t>
      </w:r>
      <w:r w:rsidRPr="00457BA9">
        <w:rPr>
          <w:rFonts w:eastAsia="仿宋_GB2312" w:hint="eastAsia"/>
          <w:kern w:val="0"/>
          <w:sz w:val="32"/>
          <w:szCs w:val="32"/>
        </w:rPr>
        <w:t>、</w:t>
      </w:r>
      <w:proofErr w:type="spellStart"/>
      <w:r w:rsidRPr="00457BA9">
        <w:rPr>
          <w:rFonts w:eastAsia="仿宋_GB2312"/>
          <w:kern w:val="0"/>
          <w:sz w:val="32"/>
          <w:szCs w:val="32"/>
        </w:rPr>
        <w:t>Mn</w:t>
      </w:r>
      <w:proofErr w:type="spellEnd"/>
      <w:r w:rsidRPr="00457BA9">
        <w:rPr>
          <w:rFonts w:eastAsia="仿宋_GB2312" w:hint="eastAsia"/>
          <w:kern w:val="0"/>
          <w:sz w:val="32"/>
          <w:szCs w:val="32"/>
        </w:rPr>
        <w:t>、</w:t>
      </w:r>
      <w:r w:rsidRPr="00457BA9">
        <w:rPr>
          <w:rFonts w:eastAsia="仿宋_GB2312" w:hint="eastAsia"/>
          <w:kern w:val="0"/>
          <w:sz w:val="32"/>
          <w:szCs w:val="32"/>
        </w:rPr>
        <w:t>Cd</w:t>
      </w:r>
      <w:r w:rsidRPr="00457BA9">
        <w:rPr>
          <w:rFonts w:eastAsia="仿宋_GB2312" w:hint="eastAsia"/>
          <w:kern w:val="0"/>
          <w:sz w:val="32"/>
          <w:szCs w:val="32"/>
        </w:rPr>
        <w:t>、</w:t>
      </w:r>
      <w:r w:rsidRPr="00457BA9">
        <w:rPr>
          <w:rFonts w:eastAsia="仿宋_GB2312"/>
          <w:kern w:val="0"/>
          <w:sz w:val="32"/>
          <w:szCs w:val="32"/>
        </w:rPr>
        <w:t>Ti</w:t>
      </w:r>
      <w:r w:rsidRPr="00457BA9">
        <w:rPr>
          <w:rFonts w:eastAsia="仿宋_GB2312" w:hint="eastAsia"/>
          <w:kern w:val="0"/>
          <w:sz w:val="32"/>
          <w:szCs w:val="32"/>
        </w:rPr>
        <w:t>、</w:t>
      </w:r>
      <w:r w:rsidRPr="00457BA9">
        <w:rPr>
          <w:rFonts w:eastAsia="仿宋_GB2312"/>
          <w:kern w:val="0"/>
          <w:sz w:val="32"/>
          <w:szCs w:val="32"/>
        </w:rPr>
        <w:t>Co</w:t>
      </w:r>
      <w:r w:rsidRPr="00457BA9">
        <w:rPr>
          <w:rFonts w:eastAsia="仿宋_GB2312" w:hint="eastAsia"/>
          <w:kern w:val="0"/>
          <w:sz w:val="32"/>
          <w:szCs w:val="32"/>
        </w:rPr>
        <w:t>、</w:t>
      </w:r>
      <w:r w:rsidRPr="00457BA9">
        <w:rPr>
          <w:rFonts w:eastAsia="仿宋_GB2312"/>
          <w:kern w:val="0"/>
          <w:sz w:val="32"/>
          <w:szCs w:val="32"/>
        </w:rPr>
        <w:t>Cr</w:t>
      </w:r>
      <w:r w:rsidRPr="00457BA9">
        <w:rPr>
          <w:rFonts w:eastAsia="仿宋_GB2312" w:hint="eastAsia"/>
          <w:kern w:val="0"/>
          <w:sz w:val="32"/>
          <w:szCs w:val="32"/>
        </w:rPr>
        <w:t>、</w:t>
      </w:r>
      <w:proofErr w:type="spellStart"/>
      <w:r w:rsidRPr="00457BA9">
        <w:rPr>
          <w:rFonts w:eastAsia="仿宋_GB2312"/>
          <w:kern w:val="0"/>
          <w:sz w:val="32"/>
          <w:szCs w:val="32"/>
        </w:rPr>
        <w:t>Pb</w:t>
      </w:r>
      <w:proofErr w:type="spellEnd"/>
      <w:r w:rsidRPr="00457BA9">
        <w:rPr>
          <w:rFonts w:eastAsia="仿宋_GB2312" w:hint="eastAsia"/>
          <w:kern w:val="0"/>
          <w:sz w:val="32"/>
          <w:szCs w:val="32"/>
        </w:rPr>
        <w:t>、</w:t>
      </w:r>
      <w:r w:rsidRPr="00457BA9">
        <w:rPr>
          <w:rFonts w:eastAsia="仿宋_GB2312"/>
          <w:kern w:val="0"/>
          <w:sz w:val="32"/>
          <w:szCs w:val="32"/>
        </w:rPr>
        <w:t>As</w:t>
      </w:r>
      <w:r w:rsidRPr="00457BA9">
        <w:rPr>
          <w:rFonts w:eastAsia="仿宋_GB2312" w:hint="eastAsia"/>
          <w:kern w:val="0"/>
          <w:sz w:val="32"/>
          <w:szCs w:val="32"/>
        </w:rPr>
        <w:t>、</w:t>
      </w:r>
      <w:proofErr w:type="spellStart"/>
      <w:r w:rsidRPr="00457BA9">
        <w:rPr>
          <w:rFonts w:eastAsia="仿宋_GB2312"/>
          <w:kern w:val="0"/>
          <w:sz w:val="32"/>
          <w:szCs w:val="32"/>
        </w:rPr>
        <w:t>Sb</w:t>
      </w:r>
      <w:proofErr w:type="spellEnd"/>
      <w:r w:rsidRPr="00457BA9">
        <w:rPr>
          <w:rFonts w:eastAsia="仿宋_GB2312" w:hint="eastAsia"/>
          <w:kern w:val="0"/>
          <w:sz w:val="32"/>
          <w:szCs w:val="32"/>
        </w:rPr>
        <w:t>等。应结合特定玻璃容器的组分以及添加物质的信息，对所含有的离子进行定量检查并进行安全性评估，重点对附件</w:t>
      </w:r>
      <w:r w:rsidRPr="00457BA9">
        <w:rPr>
          <w:rFonts w:eastAsia="仿宋_GB2312" w:hint="eastAsia"/>
          <w:kern w:val="0"/>
          <w:sz w:val="32"/>
          <w:szCs w:val="32"/>
        </w:rPr>
        <w:t>6</w:t>
      </w:r>
      <w:r w:rsidRPr="00457BA9">
        <w:rPr>
          <w:rFonts w:eastAsia="仿宋_GB2312" w:hint="eastAsia"/>
          <w:kern w:val="0"/>
          <w:sz w:val="32"/>
          <w:szCs w:val="32"/>
        </w:rPr>
        <w:t>所列元素的检测结果进行评估；另外，还需对药液中</w:t>
      </w:r>
      <w:r w:rsidRPr="00457BA9">
        <w:rPr>
          <w:rFonts w:eastAsia="仿宋_GB2312" w:hint="eastAsia"/>
          <w:kern w:val="0"/>
          <w:sz w:val="32"/>
          <w:szCs w:val="32"/>
        </w:rPr>
        <w:t>Si</w:t>
      </w:r>
      <w:r w:rsidRPr="00457BA9">
        <w:rPr>
          <w:rFonts w:eastAsia="仿宋_GB2312" w:hint="eastAsia"/>
          <w:kern w:val="0"/>
          <w:sz w:val="32"/>
          <w:szCs w:val="32"/>
        </w:rPr>
        <w:t>、</w:t>
      </w:r>
      <w:r w:rsidRPr="00457BA9">
        <w:rPr>
          <w:rFonts w:eastAsia="仿宋_GB2312" w:hint="eastAsia"/>
          <w:kern w:val="0"/>
          <w:sz w:val="32"/>
          <w:szCs w:val="32"/>
        </w:rPr>
        <w:t>B</w:t>
      </w:r>
      <w:r w:rsidRPr="00457BA9">
        <w:rPr>
          <w:rFonts w:eastAsia="仿宋_GB2312" w:hint="eastAsia"/>
          <w:kern w:val="0"/>
          <w:sz w:val="32"/>
          <w:szCs w:val="32"/>
        </w:rPr>
        <w:t>、</w:t>
      </w:r>
      <w:r w:rsidRPr="00457BA9">
        <w:rPr>
          <w:rFonts w:eastAsia="仿宋_GB2312" w:hint="eastAsia"/>
          <w:kern w:val="0"/>
          <w:sz w:val="32"/>
          <w:szCs w:val="32"/>
        </w:rPr>
        <w:t>Al</w:t>
      </w:r>
      <w:r w:rsidRPr="00457BA9">
        <w:rPr>
          <w:rFonts w:eastAsia="仿宋_GB2312" w:hint="eastAsia"/>
          <w:kern w:val="0"/>
          <w:sz w:val="32"/>
          <w:szCs w:val="32"/>
        </w:rPr>
        <w:t>等可预示玻璃被侵蚀或产生</w:t>
      </w:r>
      <w:proofErr w:type="gramStart"/>
      <w:r w:rsidRPr="00457BA9">
        <w:rPr>
          <w:rFonts w:eastAsia="仿宋_GB2312" w:hint="eastAsia"/>
          <w:kern w:val="0"/>
          <w:sz w:val="32"/>
          <w:szCs w:val="32"/>
        </w:rPr>
        <w:t>脱片趋势</w:t>
      </w:r>
      <w:proofErr w:type="gramEnd"/>
      <w:r w:rsidRPr="00457BA9">
        <w:rPr>
          <w:rFonts w:eastAsia="仿宋_GB2312" w:hint="eastAsia"/>
          <w:kern w:val="0"/>
          <w:sz w:val="32"/>
          <w:szCs w:val="32"/>
        </w:rPr>
        <w:t>的元素进行检查。</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对于内表面镀膜的玻璃容器，应对膜层材料的组分及其降解物的迁移同时进行考察。</w:t>
      </w:r>
    </w:p>
    <w:p w:rsidR="00F55F1C" w:rsidRPr="00457BA9" w:rsidRDefault="00F55F1C" w:rsidP="00F55F1C">
      <w:pPr>
        <w:autoSpaceDE w:val="0"/>
        <w:autoSpaceDN w:val="0"/>
        <w:adjustRightInd w:val="0"/>
        <w:snapToGrid w:val="0"/>
        <w:spacing w:line="540" w:lineRule="exact"/>
        <w:ind w:firstLineChars="200" w:firstLine="640"/>
        <w:outlineLvl w:val="0"/>
        <w:rPr>
          <w:rFonts w:eastAsia="仿宋_GB2312"/>
          <w:kern w:val="0"/>
          <w:sz w:val="32"/>
          <w:szCs w:val="32"/>
        </w:rPr>
      </w:pPr>
      <w:r w:rsidRPr="00457BA9">
        <w:rPr>
          <w:rFonts w:eastAsia="仿宋_GB2312"/>
          <w:kern w:val="0"/>
          <w:sz w:val="32"/>
          <w:szCs w:val="32"/>
        </w:rPr>
        <w:t xml:space="preserve">3.2.1.3 </w:t>
      </w:r>
      <w:r w:rsidRPr="00457BA9">
        <w:rPr>
          <w:rFonts w:eastAsia="仿宋_GB2312" w:hint="eastAsia"/>
          <w:kern w:val="0"/>
          <w:sz w:val="32"/>
          <w:szCs w:val="32"/>
        </w:rPr>
        <w:t>吸附试验</w:t>
      </w:r>
    </w:p>
    <w:p w:rsidR="00F55F1C" w:rsidRDefault="00F55F1C" w:rsidP="00F55F1C">
      <w:pPr>
        <w:autoSpaceDE w:val="0"/>
        <w:autoSpaceDN w:val="0"/>
        <w:adjustRightInd w:val="0"/>
        <w:snapToGrid w:val="0"/>
        <w:spacing w:line="500" w:lineRule="exact"/>
        <w:ind w:firstLineChars="200" w:firstLine="640"/>
        <w:rPr>
          <w:rFonts w:eastAsia="仿宋_GB2312"/>
          <w:kern w:val="0"/>
          <w:sz w:val="32"/>
          <w:szCs w:val="32"/>
        </w:rPr>
      </w:pPr>
      <w:r w:rsidRPr="00457BA9">
        <w:rPr>
          <w:rFonts w:eastAsia="仿宋_GB2312" w:hint="eastAsia"/>
          <w:kern w:val="0"/>
          <w:sz w:val="32"/>
          <w:szCs w:val="32"/>
        </w:rPr>
        <w:t>吸附试验主要针对微量、治疗窗窄、结构上存在易与玻璃发</w:t>
      </w:r>
    </w:p>
    <w:p w:rsidR="00F55F1C" w:rsidRPr="00457BA9" w:rsidRDefault="00F55F1C" w:rsidP="00F55F1C">
      <w:pPr>
        <w:autoSpaceDE w:val="0"/>
        <w:autoSpaceDN w:val="0"/>
        <w:adjustRightInd w:val="0"/>
        <w:snapToGrid w:val="0"/>
        <w:spacing w:line="620" w:lineRule="exact"/>
        <w:rPr>
          <w:rFonts w:eastAsia="仿宋_GB2312"/>
          <w:kern w:val="0"/>
          <w:sz w:val="32"/>
          <w:szCs w:val="32"/>
        </w:rPr>
      </w:pPr>
      <w:r w:rsidRPr="00457BA9">
        <w:rPr>
          <w:rFonts w:eastAsia="仿宋_GB2312" w:hint="eastAsia"/>
          <w:kern w:val="0"/>
          <w:sz w:val="32"/>
          <w:szCs w:val="32"/>
        </w:rPr>
        <w:lastRenderedPageBreak/>
        <w:t>生吸附的官能团的药物，以及处方中含有微量的功能性辅料进行。推荐选择该药品加速试验以及长期留样试验条件（温度和时间）进行，通常可选择加速试验以及长期留样试验的考察时间点，按照药品标准进行检验，并根据考察对象（如功能性辅料）等适当增加检验项目，主要对药品以及拟考察辅料的含量等项目进行检查。</w:t>
      </w:r>
    </w:p>
    <w:p w:rsidR="00F55F1C" w:rsidRPr="00457BA9" w:rsidRDefault="00F55F1C" w:rsidP="00F55F1C">
      <w:pPr>
        <w:autoSpaceDE w:val="0"/>
        <w:autoSpaceDN w:val="0"/>
        <w:adjustRightInd w:val="0"/>
        <w:snapToGrid w:val="0"/>
        <w:spacing w:line="620" w:lineRule="exact"/>
        <w:ind w:firstLineChars="200" w:firstLine="640"/>
        <w:outlineLvl w:val="0"/>
        <w:rPr>
          <w:rFonts w:eastAsia="楷体_GB2312"/>
          <w:bCs/>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457BA9">
          <w:rPr>
            <w:rFonts w:eastAsia="楷体_GB2312"/>
            <w:bCs/>
            <w:kern w:val="0"/>
            <w:sz w:val="32"/>
            <w:szCs w:val="32"/>
          </w:rPr>
          <w:t>3.2.2</w:t>
        </w:r>
      </w:smartTag>
      <w:r w:rsidRPr="00457BA9">
        <w:rPr>
          <w:rFonts w:eastAsia="楷体_GB2312"/>
          <w:bCs/>
          <w:kern w:val="0"/>
          <w:sz w:val="32"/>
          <w:szCs w:val="32"/>
        </w:rPr>
        <w:t xml:space="preserve"> </w:t>
      </w:r>
      <w:r w:rsidRPr="00457BA9">
        <w:rPr>
          <w:rFonts w:eastAsia="楷体_GB2312" w:hint="eastAsia"/>
          <w:bCs/>
          <w:kern w:val="0"/>
          <w:sz w:val="32"/>
          <w:szCs w:val="32"/>
        </w:rPr>
        <w:t>药品对玻璃容器内表面的影响</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对于含有机酸、络合剂、偏碱、高离子强度的注射剂（如附件</w:t>
      </w:r>
      <w:r w:rsidRPr="00457BA9">
        <w:rPr>
          <w:rFonts w:eastAsia="仿宋_GB2312" w:hint="eastAsia"/>
          <w:kern w:val="0"/>
          <w:sz w:val="32"/>
          <w:szCs w:val="32"/>
        </w:rPr>
        <w:t>3</w:t>
      </w:r>
      <w:r w:rsidRPr="00457BA9">
        <w:rPr>
          <w:rFonts w:eastAsia="仿宋_GB2312" w:hint="eastAsia"/>
          <w:kern w:val="0"/>
          <w:sz w:val="32"/>
          <w:szCs w:val="32"/>
        </w:rPr>
        <w:t>所示），应重点关注玻璃容器被侵蚀后出现脱片、微粒（玻屑）的可能性。可在模拟试验和迁移试验的同时，对玻璃容器</w:t>
      </w:r>
      <w:proofErr w:type="gramStart"/>
      <w:r w:rsidRPr="00457BA9">
        <w:rPr>
          <w:rFonts w:eastAsia="仿宋_GB2312" w:hint="eastAsia"/>
          <w:kern w:val="0"/>
          <w:sz w:val="32"/>
          <w:szCs w:val="32"/>
        </w:rPr>
        <w:t>内表面脱片的</w:t>
      </w:r>
      <w:proofErr w:type="gramEnd"/>
      <w:r w:rsidRPr="00457BA9">
        <w:rPr>
          <w:rFonts w:eastAsia="仿宋_GB2312" w:hint="eastAsia"/>
          <w:kern w:val="0"/>
          <w:sz w:val="32"/>
          <w:szCs w:val="32"/>
        </w:rPr>
        <w:t>趋势和程度进行考察。应该注意，药品对玻璃容器颈部和底部成型加工处的侵蚀程度与药品对玻璃壁的侵蚀程度不同，对玻璃容器与药品接触处与非接触处的侵蚀程度也不同（如冻干制剂），在考察药品对玻璃容器内表面的影响时，需注意对玻璃容器不同部位进行考察。</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可通过对玻璃容器内表面及</w:t>
      </w:r>
      <w:r w:rsidRPr="00457BA9">
        <w:rPr>
          <w:rFonts w:eastAsia="仿宋_GB2312"/>
          <w:kern w:val="0"/>
          <w:sz w:val="32"/>
          <w:szCs w:val="32"/>
        </w:rPr>
        <w:t>/</w:t>
      </w:r>
      <w:r w:rsidRPr="00457BA9">
        <w:rPr>
          <w:rFonts w:eastAsia="仿宋_GB2312" w:hint="eastAsia"/>
          <w:kern w:val="0"/>
          <w:sz w:val="32"/>
          <w:szCs w:val="32"/>
        </w:rPr>
        <w:t>或注射液进行检测分析，评估药品对玻璃容器内表面的影响。常见的方法包括常规观察玻璃表面侵蚀痕迹（对玻璃内表面进行亚甲蓝染色等），以及注射液中的可见异物；采用表面分析技术对玻璃内表面的化学侵蚀进行检测；测定注射液中的不溶性微粒、以及试验液中</w:t>
      </w:r>
      <w:r w:rsidRPr="00457BA9">
        <w:rPr>
          <w:rFonts w:eastAsia="仿宋_GB2312" w:hint="eastAsia"/>
          <w:kern w:val="0"/>
          <w:sz w:val="32"/>
          <w:szCs w:val="32"/>
        </w:rPr>
        <w:t>Si</w:t>
      </w:r>
      <w:r w:rsidRPr="00457BA9">
        <w:rPr>
          <w:rFonts w:eastAsia="仿宋_GB2312" w:hint="eastAsia"/>
          <w:kern w:val="0"/>
          <w:sz w:val="32"/>
          <w:szCs w:val="32"/>
        </w:rPr>
        <w:t>元素浓度增加量、</w:t>
      </w:r>
      <w:r w:rsidRPr="00457BA9">
        <w:rPr>
          <w:rFonts w:eastAsia="仿宋_GB2312" w:hint="eastAsia"/>
          <w:kern w:val="0"/>
          <w:sz w:val="32"/>
          <w:szCs w:val="32"/>
        </w:rPr>
        <w:t>Si/B</w:t>
      </w:r>
      <w:r w:rsidRPr="00457BA9">
        <w:rPr>
          <w:rFonts w:eastAsia="仿宋_GB2312" w:hint="eastAsia"/>
          <w:kern w:val="0"/>
          <w:sz w:val="32"/>
          <w:szCs w:val="32"/>
        </w:rPr>
        <w:t>或</w:t>
      </w:r>
      <w:r w:rsidRPr="00457BA9">
        <w:rPr>
          <w:rFonts w:eastAsia="仿宋_GB2312" w:hint="eastAsia"/>
          <w:kern w:val="0"/>
          <w:sz w:val="32"/>
          <w:szCs w:val="32"/>
        </w:rPr>
        <w:t>Si/Al</w:t>
      </w:r>
      <w:r w:rsidRPr="00457BA9">
        <w:rPr>
          <w:rFonts w:eastAsia="仿宋_GB2312" w:hint="eastAsia"/>
          <w:kern w:val="0"/>
          <w:sz w:val="32"/>
          <w:szCs w:val="32"/>
        </w:rPr>
        <w:t>比值变化以及其他金属离子的变化趋势等进行考</w:t>
      </w:r>
      <w:r w:rsidRPr="00457BA9">
        <w:rPr>
          <w:rFonts w:eastAsia="仿宋_GB2312" w:hint="eastAsia"/>
          <w:kern w:val="0"/>
          <w:sz w:val="32"/>
          <w:szCs w:val="32"/>
        </w:rPr>
        <w:lastRenderedPageBreak/>
        <w:t>察，上述数值如发生显著变化，则预示玻璃容器可能受侵蚀</w:t>
      </w:r>
      <w:proofErr w:type="gramStart"/>
      <w:r w:rsidRPr="00457BA9">
        <w:rPr>
          <w:rFonts w:eastAsia="仿宋_GB2312" w:hint="eastAsia"/>
          <w:kern w:val="0"/>
          <w:sz w:val="32"/>
          <w:szCs w:val="32"/>
        </w:rPr>
        <w:t>产生脱片和</w:t>
      </w:r>
      <w:proofErr w:type="gramEnd"/>
      <w:r w:rsidRPr="00457BA9">
        <w:rPr>
          <w:rFonts w:eastAsia="仿宋_GB2312" w:hint="eastAsia"/>
          <w:kern w:val="0"/>
          <w:sz w:val="32"/>
          <w:szCs w:val="32"/>
        </w:rPr>
        <w:t>微粒（玻屑）或风险增加。</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在进行不溶性微粒考察时，可参考中国药典附录</w:t>
      </w:r>
      <w:r w:rsidRPr="00457BA9">
        <w:rPr>
          <w:rFonts w:eastAsia="仿宋_GB2312" w:hint="eastAsia"/>
          <w:kern w:val="0"/>
          <w:sz w:val="32"/>
          <w:szCs w:val="32"/>
        </w:rPr>
        <w:t>IX C</w:t>
      </w:r>
      <w:r w:rsidRPr="00457BA9">
        <w:rPr>
          <w:rFonts w:eastAsia="仿宋_GB2312" w:hint="eastAsia"/>
          <w:kern w:val="0"/>
          <w:sz w:val="32"/>
          <w:szCs w:val="32"/>
        </w:rPr>
        <w:t>进行检查。因玻璃微粒比溶剂重，微粒易积聚在容器底部，为了得到准确数据，应对溶液进行充分振摇后进行测定。</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应该注意，玻璃容器</w:t>
      </w:r>
      <w:proofErr w:type="gramStart"/>
      <w:r w:rsidRPr="00457BA9">
        <w:rPr>
          <w:rFonts w:eastAsia="仿宋_GB2312" w:hint="eastAsia"/>
          <w:kern w:val="0"/>
          <w:sz w:val="32"/>
          <w:szCs w:val="32"/>
        </w:rPr>
        <w:t>产生脱片的</w:t>
      </w:r>
      <w:proofErr w:type="gramEnd"/>
      <w:r w:rsidRPr="00457BA9">
        <w:rPr>
          <w:rFonts w:eastAsia="仿宋_GB2312" w:hint="eastAsia"/>
          <w:kern w:val="0"/>
          <w:sz w:val="32"/>
          <w:szCs w:val="32"/>
        </w:rPr>
        <w:t>倾向与盛装注射液的时间长短直接相关，通常在盛装注射液</w:t>
      </w:r>
      <w:r w:rsidRPr="00457BA9">
        <w:rPr>
          <w:rFonts w:eastAsia="仿宋_GB2312"/>
          <w:kern w:val="0"/>
          <w:sz w:val="32"/>
          <w:szCs w:val="32"/>
        </w:rPr>
        <w:t>3</w:t>
      </w:r>
      <w:r w:rsidRPr="00457BA9">
        <w:rPr>
          <w:rFonts w:eastAsia="仿宋_GB2312" w:hint="eastAsia"/>
          <w:kern w:val="0"/>
          <w:sz w:val="32"/>
          <w:szCs w:val="32"/>
        </w:rPr>
        <w:t>～</w:t>
      </w:r>
      <w:r w:rsidRPr="00457BA9">
        <w:rPr>
          <w:rFonts w:eastAsia="仿宋_GB2312"/>
          <w:kern w:val="0"/>
          <w:sz w:val="32"/>
          <w:szCs w:val="32"/>
        </w:rPr>
        <w:t>6</w:t>
      </w:r>
      <w:r w:rsidRPr="00457BA9">
        <w:rPr>
          <w:rFonts w:eastAsia="仿宋_GB2312" w:hint="eastAsia"/>
          <w:kern w:val="0"/>
          <w:sz w:val="32"/>
          <w:szCs w:val="32"/>
        </w:rPr>
        <w:t>个月以后或者更长时间才可观察到明显</w:t>
      </w:r>
      <w:proofErr w:type="gramStart"/>
      <w:r w:rsidRPr="00457BA9">
        <w:rPr>
          <w:rFonts w:eastAsia="仿宋_GB2312" w:hint="eastAsia"/>
          <w:kern w:val="0"/>
          <w:sz w:val="32"/>
          <w:szCs w:val="32"/>
        </w:rPr>
        <w:t>的脱片现象</w:t>
      </w:r>
      <w:proofErr w:type="gramEnd"/>
      <w:r w:rsidRPr="00457BA9">
        <w:rPr>
          <w:rFonts w:eastAsia="仿宋_GB2312" w:hint="eastAsia"/>
          <w:kern w:val="0"/>
          <w:sz w:val="32"/>
          <w:szCs w:val="32"/>
        </w:rPr>
        <w:t>，为明确药品对玻璃内表面的影响，可适当延长考察的时间，如在药品加速试验下进行</w:t>
      </w:r>
      <w:r w:rsidRPr="00457BA9">
        <w:rPr>
          <w:rFonts w:eastAsia="仿宋_GB2312"/>
          <w:kern w:val="0"/>
          <w:sz w:val="32"/>
          <w:szCs w:val="32"/>
        </w:rPr>
        <w:t>9</w:t>
      </w:r>
      <w:r w:rsidRPr="00457BA9">
        <w:rPr>
          <w:rFonts w:eastAsia="仿宋_GB2312" w:hint="eastAsia"/>
          <w:kern w:val="0"/>
          <w:sz w:val="32"/>
          <w:szCs w:val="32"/>
        </w:rPr>
        <w:t>～</w:t>
      </w:r>
      <w:r w:rsidRPr="00457BA9">
        <w:rPr>
          <w:rFonts w:eastAsia="仿宋_GB2312"/>
          <w:kern w:val="0"/>
          <w:sz w:val="32"/>
          <w:szCs w:val="32"/>
        </w:rPr>
        <w:t>12</w:t>
      </w:r>
      <w:r w:rsidRPr="00457BA9">
        <w:rPr>
          <w:rFonts w:eastAsia="仿宋_GB2312" w:hint="eastAsia"/>
          <w:kern w:val="0"/>
          <w:sz w:val="32"/>
          <w:szCs w:val="32"/>
        </w:rPr>
        <w:t>个月试验，并在长期留样试验过程中进行考察。</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对于可见及不可见微粒检查均符合要求，但注射液中离子浓度发生显著变化的情况，可采用适宜方法，对不溶性微粒检查方法难以检出的粒径更小的微粒进行考察，对玻璃容器受侵蚀</w:t>
      </w:r>
      <w:proofErr w:type="gramStart"/>
      <w:r w:rsidRPr="00457BA9">
        <w:rPr>
          <w:rFonts w:eastAsia="仿宋_GB2312" w:hint="eastAsia"/>
          <w:kern w:val="0"/>
          <w:sz w:val="32"/>
          <w:szCs w:val="32"/>
        </w:rPr>
        <w:t>产生脱片和</w:t>
      </w:r>
      <w:proofErr w:type="gramEnd"/>
      <w:r w:rsidRPr="00457BA9">
        <w:rPr>
          <w:rFonts w:eastAsia="仿宋_GB2312" w:hint="eastAsia"/>
          <w:kern w:val="0"/>
          <w:sz w:val="32"/>
          <w:szCs w:val="32"/>
        </w:rPr>
        <w:t>微粒（玻屑）的风险和趋势进行分析和评估。</w:t>
      </w:r>
    </w:p>
    <w:p w:rsidR="00F55F1C" w:rsidRPr="00457BA9" w:rsidRDefault="00F55F1C" w:rsidP="00F55F1C">
      <w:pPr>
        <w:autoSpaceDE w:val="0"/>
        <w:autoSpaceDN w:val="0"/>
        <w:adjustRightInd w:val="0"/>
        <w:snapToGrid w:val="0"/>
        <w:spacing w:line="620" w:lineRule="exact"/>
        <w:ind w:firstLineChars="200" w:firstLine="640"/>
        <w:outlineLvl w:val="0"/>
        <w:rPr>
          <w:rFonts w:eastAsia="楷体_GB2312"/>
          <w:bCs/>
          <w:kern w:val="0"/>
          <w:sz w:val="32"/>
          <w:szCs w:val="32"/>
        </w:rPr>
      </w:pPr>
      <w:r w:rsidRPr="00457BA9">
        <w:rPr>
          <w:rFonts w:eastAsia="楷体_GB2312"/>
          <w:bCs/>
          <w:kern w:val="0"/>
          <w:sz w:val="32"/>
          <w:szCs w:val="32"/>
        </w:rPr>
        <w:t xml:space="preserve">3.3 </w:t>
      </w:r>
      <w:r w:rsidRPr="00457BA9">
        <w:rPr>
          <w:rFonts w:eastAsia="楷体_GB2312" w:hint="eastAsia"/>
          <w:bCs/>
          <w:kern w:val="0"/>
          <w:sz w:val="32"/>
          <w:szCs w:val="32"/>
        </w:rPr>
        <w:t>空白干扰试验</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必要时可进行空白干扰试验</w:t>
      </w:r>
      <w:r w:rsidRPr="00457BA9">
        <w:rPr>
          <w:rFonts w:eastAsia="仿宋_GB2312"/>
          <w:kern w:val="0"/>
          <w:sz w:val="32"/>
          <w:szCs w:val="32"/>
        </w:rPr>
        <w:t>,</w:t>
      </w:r>
      <w:r w:rsidRPr="00457BA9">
        <w:rPr>
          <w:rFonts w:eastAsia="仿宋_GB2312" w:hint="eastAsia"/>
          <w:kern w:val="0"/>
          <w:sz w:val="32"/>
          <w:szCs w:val="32"/>
        </w:rPr>
        <w:t>试验过程中所采用的试验器具，以及进行参比试验时，原则上应尽量避免使用玻璃容器。另外</w:t>
      </w:r>
      <w:proofErr w:type="gramStart"/>
      <w:r w:rsidRPr="00457BA9">
        <w:rPr>
          <w:rFonts w:eastAsia="仿宋_GB2312" w:hint="eastAsia"/>
          <w:kern w:val="0"/>
          <w:sz w:val="32"/>
          <w:szCs w:val="32"/>
        </w:rPr>
        <w:t>玻璃包材多</w:t>
      </w:r>
      <w:proofErr w:type="gramEnd"/>
      <w:r w:rsidRPr="00457BA9">
        <w:rPr>
          <w:rFonts w:eastAsia="仿宋_GB2312" w:hint="eastAsia"/>
          <w:kern w:val="0"/>
          <w:sz w:val="32"/>
          <w:szCs w:val="32"/>
        </w:rPr>
        <w:t>与胶塞配合使用，在进行相容性试验时，应考虑避免胶塞对试验结果的影响。</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例如：在对玻璃包装容器进行相关试验时，空白试验不宜选择橡胶</w:t>
      </w:r>
      <w:proofErr w:type="gramStart"/>
      <w:r w:rsidRPr="00457BA9">
        <w:rPr>
          <w:rFonts w:eastAsia="仿宋_GB2312" w:hint="eastAsia"/>
          <w:kern w:val="0"/>
          <w:sz w:val="32"/>
          <w:szCs w:val="32"/>
        </w:rPr>
        <w:t>塞作为</w:t>
      </w:r>
      <w:proofErr w:type="gramEnd"/>
      <w:r w:rsidRPr="00457BA9">
        <w:rPr>
          <w:rFonts w:eastAsia="仿宋_GB2312" w:hint="eastAsia"/>
          <w:kern w:val="0"/>
          <w:sz w:val="32"/>
          <w:szCs w:val="32"/>
        </w:rPr>
        <w:t>密封件，可选择聚四氟乙烯瓶，以及聚四氟乙烯或</w:t>
      </w:r>
      <w:r w:rsidRPr="00457BA9">
        <w:rPr>
          <w:rFonts w:eastAsia="仿宋_GB2312" w:hint="eastAsia"/>
          <w:kern w:val="0"/>
          <w:sz w:val="32"/>
          <w:szCs w:val="32"/>
        </w:rPr>
        <w:lastRenderedPageBreak/>
        <w:t>聚丙烯塞，或其他惰性容器进行平行对照。</w:t>
      </w:r>
    </w:p>
    <w:p w:rsidR="00F55F1C" w:rsidRPr="00457BA9" w:rsidRDefault="00F55F1C" w:rsidP="00F55F1C">
      <w:pPr>
        <w:autoSpaceDE w:val="0"/>
        <w:autoSpaceDN w:val="0"/>
        <w:adjustRightInd w:val="0"/>
        <w:snapToGrid w:val="0"/>
        <w:spacing w:line="620" w:lineRule="exact"/>
        <w:ind w:firstLineChars="200" w:firstLine="640"/>
        <w:outlineLvl w:val="0"/>
        <w:rPr>
          <w:rFonts w:eastAsia="楷体_GB2312"/>
          <w:bCs/>
          <w:kern w:val="0"/>
          <w:sz w:val="32"/>
          <w:szCs w:val="32"/>
        </w:rPr>
      </w:pPr>
      <w:r w:rsidRPr="00457BA9">
        <w:rPr>
          <w:rFonts w:eastAsia="楷体_GB2312"/>
          <w:bCs/>
          <w:kern w:val="0"/>
          <w:sz w:val="32"/>
          <w:szCs w:val="32"/>
        </w:rPr>
        <w:t xml:space="preserve">3.4 </w:t>
      </w:r>
      <w:r w:rsidRPr="00457BA9">
        <w:rPr>
          <w:rFonts w:eastAsia="楷体_GB2312" w:hint="eastAsia"/>
          <w:bCs/>
          <w:kern w:val="0"/>
          <w:sz w:val="32"/>
          <w:szCs w:val="32"/>
        </w:rPr>
        <w:t>分析方法与方法学验证</w:t>
      </w:r>
    </w:p>
    <w:p w:rsidR="00F55F1C" w:rsidRPr="00457BA9" w:rsidRDefault="00F55F1C" w:rsidP="00F55F1C">
      <w:pPr>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模拟试验和迁移试验应采用专属性强、准确、精密、灵敏的分析方法，以保证试验结果的可靠性；并应针对不同的待测项目选择适宜的分析方法。由于玻璃容器最常见的可提取物为金属离子、</w:t>
      </w:r>
      <w:proofErr w:type="gramStart"/>
      <w:r w:rsidRPr="00457BA9">
        <w:rPr>
          <w:rFonts w:eastAsia="仿宋_GB2312" w:hint="eastAsia"/>
          <w:kern w:val="0"/>
          <w:sz w:val="32"/>
          <w:szCs w:val="32"/>
        </w:rPr>
        <w:t>不</w:t>
      </w:r>
      <w:proofErr w:type="gramEnd"/>
      <w:r w:rsidRPr="00457BA9">
        <w:rPr>
          <w:rFonts w:eastAsia="仿宋_GB2312" w:hint="eastAsia"/>
          <w:kern w:val="0"/>
          <w:sz w:val="32"/>
          <w:szCs w:val="32"/>
        </w:rPr>
        <w:t>挥发性物质等组分，对可提取物和浸出物的常见分析方法包括：电感耦合等离子体发射光谱（</w:t>
      </w:r>
      <w:r w:rsidRPr="00457BA9">
        <w:rPr>
          <w:rFonts w:eastAsia="仿宋_GB2312"/>
          <w:kern w:val="0"/>
          <w:sz w:val="32"/>
          <w:szCs w:val="32"/>
        </w:rPr>
        <w:t>ICP</w:t>
      </w:r>
      <w:r w:rsidRPr="00457BA9">
        <w:rPr>
          <w:rFonts w:eastAsia="仿宋_GB2312" w:hint="eastAsia"/>
          <w:kern w:val="0"/>
          <w:sz w:val="32"/>
          <w:szCs w:val="32"/>
        </w:rPr>
        <w:t>）、原子吸收光谱（</w:t>
      </w:r>
      <w:r w:rsidRPr="00457BA9">
        <w:rPr>
          <w:rFonts w:eastAsia="仿宋_GB2312"/>
          <w:kern w:val="0"/>
          <w:sz w:val="32"/>
          <w:szCs w:val="32"/>
        </w:rPr>
        <w:t>AAS</w:t>
      </w:r>
      <w:r w:rsidRPr="00457BA9">
        <w:rPr>
          <w:rFonts w:eastAsia="仿宋_GB2312" w:hint="eastAsia"/>
          <w:kern w:val="0"/>
          <w:sz w:val="32"/>
          <w:szCs w:val="32"/>
        </w:rPr>
        <w:t>）、离子色谱（</w:t>
      </w:r>
      <w:r w:rsidRPr="00457BA9">
        <w:rPr>
          <w:rFonts w:eastAsia="仿宋_GB2312"/>
          <w:kern w:val="0"/>
          <w:sz w:val="32"/>
          <w:szCs w:val="32"/>
        </w:rPr>
        <w:t>IC</w:t>
      </w:r>
      <w:r w:rsidRPr="00457BA9">
        <w:rPr>
          <w:rFonts w:eastAsia="仿宋_GB2312" w:hint="eastAsia"/>
          <w:kern w:val="0"/>
          <w:sz w:val="32"/>
          <w:szCs w:val="32"/>
        </w:rPr>
        <w:t>）、高效液相色谱（</w:t>
      </w:r>
      <w:r w:rsidRPr="00457BA9">
        <w:rPr>
          <w:rFonts w:eastAsia="仿宋_GB2312"/>
          <w:kern w:val="0"/>
          <w:sz w:val="32"/>
          <w:szCs w:val="32"/>
        </w:rPr>
        <w:t>HPLC</w:t>
      </w:r>
      <w:r w:rsidRPr="00457BA9">
        <w:rPr>
          <w:rFonts w:eastAsia="仿宋_GB2312" w:hint="eastAsia"/>
          <w:kern w:val="0"/>
          <w:sz w:val="32"/>
          <w:szCs w:val="32"/>
        </w:rPr>
        <w:t>），以及与质谱的联机技术，</w:t>
      </w:r>
      <w:r w:rsidRPr="00457BA9">
        <w:rPr>
          <w:rFonts w:eastAsia="仿宋_GB2312"/>
          <w:kern w:val="0"/>
          <w:sz w:val="32"/>
          <w:szCs w:val="32"/>
        </w:rPr>
        <w:t>ICP-MS</w:t>
      </w:r>
      <w:r w:rsidRPr="00457BA9">
        <w:rPr>
          <w:rFonts w:eastAsia="仿宋_GB2312" w:hint="eastAsia"/>
          <w:kern w:val="0"/>
          <w:sz w:val="32"/>
          <w:szCs w:val="32"/>
        </w:rPr>
        <w:t>、</w:t>
      </w:r>
      <w:r w:rsidRPr="00457BA9">
        <w:rPr>
          <w:rFonts w:eastAsia="仿宋_GB2312"/>
          <w:kern w:val="0"/>
          <w:sz w:val="32"/>
          <w:szCs w:val="32"/>
        </w:rPr>
        <w:t>HPLC-MS</w:t>
      </w:r>
      <w:r w:rsidRPr="00457BA9">
        <w:rPr>
          <w:rFonts w:eastAsia="仿宋_GB2312" w:hint="eastAsia"/>
          <w:kern w:val="0"/>
          <w:sz w:val="32"/>
          <w:szCs w:val="32"/>
        </w:rPr>
        <w:t>等，方法学研究时重点关注灵敏度（检测限、基线值）、专属性、准确性等。</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考察药品对玻璃内表面影响的分析方法较多。可参照药典方法进行不溶性微粒、可见异物检查；可选择粒径分析仪、扫描电子显微镜</w:t>
      </w:r>
      <w:r w:rsidRPr="00457BA9">
        <w:rPr>
          <w:rFonts w:eastAsia="仿宋_GB2312" w:hint="eastAsia"/>
          <w:kern w:val="0"/>
          <w:sz w:val="32"/>
          <w:szCs w:val="32"/>
        </w:rPr>
        <w:t>-</w:t>
      </w:r>
      <w:r w:rsidRPr="00457BA9">
        <w:rPr>
          <w:rFonts w:eastAsia="仿宋_GB2312"/>
          <w:kern w:val="0"/>
          <w:sz w:val="32"/>
          <w:szCs w:val="32"/>
        </w:rPr>
        <w:t>X</w:t>
      </w:r>
      <w:r w:rsidRPr="00457BA9">
        <w:rPr>
          <w:rFonts w:eastAsia="仿宋_GB2312" w:hint="eastAsia"/>
          <w:kern w:val="0"/>
          <w:sz w:val="32"/>
          <w:szCs w:val="32"/>
        </w:rPr>
        <w:t>射线能量色散光谱仪（</w:t>
      </w:r>
      <w:r w:rsidRPr="00457BA9">
        <w:rPr>
          <w:rFonts w:eastAsia="仿宋_GB2312"/>
          <w:kern w:val="0"/>
          <w:sz w:val="32"/>
          <w:szCs w:val="32"/>
        </w:rPr>
        <w:t>SEM</w:t>
      </w:r>
      <w:r w:rsidRPr="00457BA9">
        <w:rPr>
          <w:rFonts w:eastAsia="仿宋_GB2312" w:hint="eastAsia"/>
          <w:kern w:val="0"/>
          <w:sz w:val="32"/>
          <w:szCs w:val="32"/>
        </w:rPr>
        <w:t>-</w:t>
      </w:r>
      <w:r w:rsidRPr="00457BA9">
        <w:rPr>
          <w:rFonts w:eastAsia="仿宋_GB2312"/>
          <w:kern w:val="0"/>
          <w:sz w:val="32"/>
          <w:szCs w:val="32"/>
        </w:rPr>
        <w:t>EDX</w:t>
      </w:r>
      <w:r w:rsidRPr="00457BA9">
        <w:rPr>
          <w:rFonts w:eastAsia="仿宋_GB2312" w:hint="eastAsia"/>
          <w:kern w:val="0"/>
          <w:sz w:val="32"/>
          <w:szCs w:val="32"/>
        </w:rPr>
        <w:t>）对微粒进行检查；也可选择微分干涉差显微镜（</w:t>
      </w:r>
      <w:r w:rsidRPr="00457BA9">
        <w:rPr>
          <w:rFonts w:eastAsia="仿宋_GB2312"/>
          <w:kern w:val="0"/>
          <w:sz w:val="32"/>
          <w:szCs w:val="32"/>
        </w:rPr>
        <w:t>DIC</w:t>
      </w:r>
      <w:r w:rsidRPr="00457BA9">
        <w:rPr>
          <w:rFonts w:eastAsia="仿宋_GB2312" w:hint="eastAsia"/>
          <w:kern w:val="0"/>
          <w:sz w:val="32"/>
          <w:szCs w:val="32"/>
        </w:rPr>
        <w:t>显微镜）、电子显微镜（</w:t>
      </w:r>
      <w:r w:rsidRPr="00457BA9">
        <w:rPr>
          <w:rFonts w:eastAsia="仿宋_GB2312"/>
          <w:kern w:val="0"/>
          <w:sz w:val="32"/>
          <w:szCs w:val="32"/>
        </w:rPr>
        <w:t>EM</w:t>
      </w:r>
      <w:r w:rsidRPr="00457BA9">
        <w:rPr>
          <w:rFonts w:eastAsia="仿宋_GB2312" w:hint="eastAsia"/>
          <w:kern w:val="0"/>
          <w:sz w:val="32"/>
          <w:szCs w:val="32"/>
        </w:rPr>
        <w:t>）以及二次离子质谱仪（</w:t>
      </w:r>
      <w:r w:rsidRPr="00457BA9">
        <w:rPr>
          <w:rFonts w:eastAsia="仿宋_GB2312"/>
          <w:kern w:val="0"/>
          <w:sz w:val="32"/>
          <w:szCs w:val="32"/>
        </w:rPr>
        <w:t>SIMS</w:t>
      </w:r>
      <w:r w:rsidRPr="00457BA9">
        <w:rPr>
          <w:rFonts w:eastAsia="仿宋_GB2312" w:hint="eastAsia"/>
          <w:kern w:val="0"/>
          <w:sz w:val="32"/>
          <w:szCs w:val="32"/>
        </w:rPr>
        <w:t>）以及原子力显微镜（</w:t>
      </w:r>
      <w:r w:rsidRPr="00457BA9">
        <w:rPr>
          <w:rFonts w:eastAsia="仿宋_GB2312"/>
          <w:kern w:val="0"/>
          <w:sz w:val="32"/>
          <w:szCs w:val="32"/>
        </w:rPr>
        <w:t>AFM</w:t>
      </w:r>
      <w:r w:rsidRPr="00457BA9">
        <w:rPr>
          <w:rFonts w:eastAsia="仿宋_GB2312" w:hint="eastAsia"/>
          <w:kern w:val="0"/>
          <w:sz w:val="32"/>
          <w:szCs w:val="32"/>
        </w:rPr>
        <w:t>）、电子探针（</w:t>
      </w:r>
      <w:r w:rsidRPr="00457BA9">
        <w:rPr>
          <w:rFonts w:eastAsia="仿宋_GB2312" w:hint="eastAsia"/>
          <w:kern w:val="0"/>
          <w:sz w:val="32"/>
          <w:szCs w:val="32"/>
        </w:rPr>
        <w:t>EPMA</w:t>
      </w:r>
      <w:r w:rsidRPr="00457BA9">
        <w:rPr>
          <w:rFonts w:eastAsia="仿宋_GB2312" w:hint="eastAsia"/>
          <w:kern w:val="0"/>
          <w:sz w:val="32"/>
          <w:szCs w:val="32"/>
        </w:rPr>
        <w:t>）等方法对玻璃表面的侵蚀程度以及功能层的化学组成进行考察。</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试验过程中需注意：进行模拟试验和迁移试验时必须进行方法学验证，目标元素的回收率应符合要求，上述试验的方法灵敏度应满足</w:t>
      </w:r>
      <w:r w:rsidRPr="00457BA9">
        <w:rPr>
          <w:rFonts w:eastAsia="仿宋_GB2312" w:hint="eastAsia"/>
          <w:kern w:val="0"/>
          <w:sz w:val="32"/>
          <w:szCs w:val="32"/>
        </w:rPr>
        <w:t>AET</w:t>
      </w:r>
      <w:r w:rsidRPr="00457BA9">
        <w:rPr>
          <w:rFonts w:eastAsia="仿宋_GB2312" w:hint="eastAsia"/>
          <w:kern w:val="0"/>
          <w:sz w:val="32"/>
          <w:szCs w:val="32"/>
        </w:rPr>
        <w:t>的测定要求。所有测试项目应提交具有统计学意义的数据。</w:t>
      </w:r>
    </w:p>
    <w:p w:rsidR="00F55F1C" w:rsidRPr="00C15CDC" w:rsidRDefault="00F55F1C" w:rsidP="00F55F1C">
      <w:pPr>
        <w:autoSpaceDE w:val="0"/>
        <w:autoSpaceDN w:val="0"/>
        <w:adjustRightInd w:val="0"/>
        <w:snapToGrid w:val="0"/>
        <w:spacing w:line="620" w:lineRule="exact"/>
        <w:ind w:firstLineChars="200" w:firstLine="640"/>
        <w:outlineLvl w:val="0"/>
        <w:rPr>
          <w:rFonts w:ascii="黑体" w:eastAsia="黑体" w:hAnsi="黑体" w:cs="华文仿宋"/>
          <w:kern w:val="0"/>
          <w:sz w:val="32"/>
          <w:szCs w:val="32"/>
        </w:rPr>
      </w:pPr>
      <w:r w:rsidRPr="00C15CDC">
        <w:rPr>
          <w:rFonts w:ascii="黑体" w:eastAsia="黑体" w:hAnsi="黑体" w:cs="华文仿宋" w:hint="eastAsia"/>
          <w:kern w:val="0"/>
          <w:sz w:val="32"/>
          <w:szCs w:val="32"/>
        </w:rPr>
        <w:lastRenderedPageBreak/>
        <w:t>四、试验结果分析与安全性评估</w:t>
      </w:r>
    </w:p>
    <w:p w:rsidR="00F55F1C" w:rsidRPr="00457BA9" w:rsidRDefault="00F55F1C" w:rsidP="00F55F1C">
      <w:pPr>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根据模拟试验结果对玻璃容器在盛装实际药液时</w:t>
      </w:r>
      <w:proofErr w:type="gramStart"/>
      <w:r w:rsidRPr="00457BA9">
        <w:rPr>
          <w:rFonts w:eastAsia="仿宋_GB2312" w:hint="eastAsia"/>
          <w:kern w:val="0"/>
          <w:sz w:val="32"/>
          <w:szCs w:val="32"/>
        </w:rPr>
        <w:t>发生脱片的</w:t>
      </w:r>
      <w:proofErr w:type="gramEnd"/>
      <w:r w:rsidRPr="00457BA9">
        <w:rPr>
          <w:rFonts w:eastAsia="仿宋_GB2312" w:hint="eastAsia"/>
          <w:kern w:val="0"/>
          <w:sz w:val="32"/>
          <w:szCs w:val="32"/>
        </w:rPr>
        <w:t>可能性进行初步预测；通过对药品常规项目检查数据、迁移试验中浸出物的种类及含量、吸附试验以及药品对玻璃内表面的影响进行评估，分析判断包装系统是否与药品具有相容性。</w:t>
      </w:r>
    </w:p>
    <w:p w:rsidR="00F55F1C" w:rsidRPr="00457BA9" w:rsidRDefault="00F55F1C" w:rsidP="00F55F1C">
      <w:pPr>
        <w:autoSpaceDE w:val="0"/>
        <w:autoSpaceDN w:val="0"/>
        <w:adjustRightInd w:val="0"/>
        <w:snapToGrid w:val="0"/>
        <w:spacing w:line="620" w:lineRule="exact"/>
        <w:ind w:firstLineChars="200" w:firstLine="640"/>
        <w:outlineLvl w:val="0"/>
        <w:rPr>
          <w:rFonts w:eastAsia="楷体_GB2312"/>
          <w:bCs/>
          <w:kern w:val="0"/>
          <w:sz w:val="32"/>
          <w:szCs w:val="32"/>
        </w:rPr>
      </w:pPr>
      <w:r w:rsidRPr="00457BA9">
        <w:rPr>
          <w:rFonts w:eastAsia="楷体_GB2312"/>
          <w:bCs/>
          <w:kern w:val="0"/>
          <w:sz w:val="32"/>
          <w:szCs w:val="32"/>
        </w:rPr>
        <w:t>4.1</w:t>
      </w:r>
      <w:r w:rsidRPr="00457BA9">
        <w:rPr>
          <w:rFonts w:eastAsia="楷体_GB2312" w:hint="eastAsia"/>
          <w:bCs/>
          <w:kern w:val="0"/>
          <w:sz w:val="32"/>
          <w:szCs w:val="32"/>
        </w:rPr>
        <w:t xml:space="preserve"> </w:t>
      </w:r>
      <w:r w:rsidRPr="00457BA9">
        <w:rPr>
          <w:rFonts w:eastAsia="楷体_GB2312" w:hint="eastAsia"/>
          <w:bCs/>
          <w:kern w:val="0"/>
          <w:sz w:val="32"/>
          <w:szCs w:val="32"/>
        </w:rPr>
        <w:t>模拟试验结果评估</w:t>
      </w:r>
    </w:p>
    <w:p w:rsidR="00F55F1C" w:rsidRPr="00457BA9" w:rsidRDefault="00F55F1C" w:rsidP="00F55F1C">
      <w:pPr>
        <w:spacing w:line="620" w:lineRule="exact"/>
        <w:ind w:firstLineChars="200" w:firstLine="640"/>
        <w:rPr>
          <w:rFonts w:eastAsia="仿宋_GB2312"/>
          <w:kern w:val="0"/>
          <w:sz w:val="32"/>
          <w:szCs w:val="32"/>
        </w:rPr>
      </w:pPr>
      <w:r w:rsidRPr="00457BA9">
        <w:rPr>
          <w:rFonts w:eastAsia="仿宋_GB2312" w:hint="eastAsia"/>
          <w:kern w:val="0"/>
          <w:sz w:val="32"/>
          <w:szCs w:val="32"/>
        </w:rPr>
        <w:t>如果试验过程中，玻璃内表面出现侵蚀痕迹；或者试验液中</w:t>
      </w:r>
      <w:r w:rsidRPr="00457BA9">
        <w:rPr>
          <w:rFonts w:eastAsia="仿宋_GB2312" w:hint="eastAsia"/>
          <w:kern w:val="0"/>
          <w:sz w:val="32"/>
          <w:szCs w:val="32"/>
        </w:rPr>
        <w:t>Si</w:t>
      </w:r>
      <w:r w:rsidRPr="00457BA9">
        <w:rPr>
          <w:rFonts w:eastAsia="仿宋_GB2312" w:hint="eastAsia"/>
          <w:kern w:val="0"/>
          <w:sz w:val="32"/>
          <w:szCs w:val="32"/>
        </w:rPr>
        <w:t>元素浓度、</w:t>
      </w:r>
      <w:r w:rsidRPr="00457BA9">
        <w:rPr>
          <w:rFonts w:eastAsia="仿宋_GB2312" w:hint="eastAsia"/>
          <w:kern w:val="0"/>
          <w:sz w:val="32"/>
          <w:szCs w:val="32"/>
        </w:rPr>
        <w:t>Si/B</w:t>
      </w:r>
      <w:r w:rsidRPr="00457BA9">
        <w:rPr>
          <w:rFonts w:eastAsia="仿宋_GB2312" w:hint="eastAsia"/>
          <w:kern w:val="0"/>
          <w:sz w:val="32"/>
          <w:szCs w:val="32"/>
        </w:rPr>
        <w:t>或</w:t>
      </w:r>
      <w:r w:rsidRPr="00457BA9">
        <w:rPr>
          <w:rFonts w:eastAsia="仿宋_GB2312" w:hint="eastAsia"/>
          <w:kern w:val="0"/>
          <w:sz w:val="32"/>
          <w:szCs w:val="32"/>
        </w:rPr>
        <w:t>Si/Al</w:t>
      </w:r>
      <w:r w:rsidRPr="00457BA9">
        <w:rPr>
          <w:rFonts w:eastAsia="仿宋_GB2312" w:hint="eastAsia"/>
          <w:kern w:val="0"/>
          <w:sz w:val="32"/>
          <w:szCs w:val="32"/>
        </w:rPr>
        <w:t>比值、微粒数以及</w:t>
      </w:r>
      <w:r w:rsidRPr="00457BA9">
        <w:rPr>
          <w:rFonts w:eastAsia="仿宋_GB2312" w:hint="eastAsia"/>
          <w:kern w:val="0"/>
          <w:sz w:val="32"/>
          <w:szCs w:val="32"/>
        </w:rPr>
        <w:t>pH</w:t>
      </w:r>
      <w:r w:rsidRPr="00457BA9">
        <w:rPr>
          <w:rFonts w:eastAsia="仿宋_GB2312" w:hint="eastAsia"/>
          <w:kern w:val="0"/>
          <w:sz w:val="32"/>
          <w:szCs w:val="32"/>
        </w:rPr>
        <w:t>值等发生显著变化，则预示玻璃容器</w:t>
      </w:r>
      <w:proofErr w:type="gramStart"/>
      <w:r w:rsidRPr="00457BA9">
        <w:rPr>
          <w:rFonts w:eastAsia="仿宋_GB2312" w:hint="eastAsia"/>
          <w:kern w:val="0"/>
          <w:sz w:val="32"/>
          <w:szCs w:val="32"/>
        </w:rPr>
        <w:t>发生脱片的</w:t>
      </w:r>
      <w:proofErr w:type="gramEnd"/>
      <w:r w:rsidRPr="00457BA9">
        <w:rPr>
          <w:rFonts w:eastAsia="仿宋_GB2312" w:hint="eastAsia"/>
          <w:kern w:val="0"/>
          <w:sz w:val="32"/>
          <w:szCs w:val="32"/>
        </w:rPr>
        <w:t>可能性较大。</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需注意的是，模拟试验仅是预测玻璃容器</w:t>
      </w:r>
      <w:proofErr w:type="gramStart"/>
      <w:r w:rsidRPr="00457BA9">
        <w:rPr>
          <w:rFonts w:eastAsia="仿宋_GB2312" w:hint="eastAsia"/>
          <w:kern w:val="0"/>
          <w:sz w:val="32"/>
          <w:szCs w:val="32"/>
        </w:rPr>
        <w:t>发生脱片的</w:t>
      </w:r>
      <w:proofErr w:type="gramEnd"/>
      <w:r w:rsidRPr="00457BA9">
        <w:rPr>
          <w:rFonts w:eastAsia="仿宋_GB2312" w:hint="eastAsia"/>
          <w:kern w:val="0"/>
          <w:sz w:val="32"/>
          <w:szCs w:val="32"/>
        </w:rPr>
        <w:t>可能性，在盛装实际药物时并不一定会发生脱片，因此，可对模拟试验结果进行评估，并选择继续进行后续相容性试验还是更换包装容器的供应商和</w:t>
      </w:r>
      <w:r w:rsidRPr="00457BA9">
        <w:rPr>
          <w:rFonts w:eastAsia="仿宋_GB2312" w:hint="eastAsia"/>
          <w:kern w:val="0"/>
          <w:sz w:val="32"/>
          <w:szCs w:val="32"/>
        </w:rPr>
        <w:t>/</w:t>
      </w:r>
      <w:r w:rsidRPr="00457BA9">
        <w:rPr>
          <w:rFonts w:eastAsia="仿宋_GB2312" w:hint="eastAsia"/>
          <w:kern w:val="0"/>
          <w:sz w:val="32"/>
          <w:szCs w:val="32"/>
        </w:rPr>
        <w:t>或其他种类的包装容器。</w:t>
      </w:r>
    </w:p>
    <w:p w:rsidR="00F55F1C" w:rsidRPr="00457BA9" w:rsidRDefault="00F55F1C" w:rsidP="00F55F1C">
      <w:pPr>
        <w:autoSpaceDE w:val="0"/>
        <w:autoSpaceDN w:val="0"/>
        <w:adjustRightInd w:val="0"/>
        <w:snapToGrid w:val="0"/>
        <w:spacing w:line="620" w:lineRule="exact"/>
        <w:ind w:firstLineChars="200" w:firstLine="640"/>
        <w:outlineLvl w:val="0"/>
        <w:rPr>
          <w:rFonts w:eastAsia="楷体_GB2312"/>
          <w:bCs/>
          <w:kern w:val="0"/>
          <w:sz w:val="32"/>
          <w:szCs w:val="32"/>
        </w:rPr>
      </w:pPr>
      <w:r w:rsidRPr="00457BA9">
        <w:rPr>
          <w:rFonts w:eastAsia="楷体_GB2312"/>
          <w:bCs/>
          <w:kern w:val="0"/>
          <w:sz w:val="32"/>
          <w:szCs w:val="32"/>
        </w:rPr>
        <w:t xml:space="preserve">4.2 </w:t>
      </w:r>
      <w:r w:rsidRPr="00457BA9">
        <w:rPr>
          <w:rFonts w:eastAsia="楷体_GB2312" w:hint="eastAsia"/>
          <w:bCs/>
          <w:kern w:val="0"/>
          <w:sz w:val="32"/>
          <w:szCs w:val="32"/>
        </w:rPr>
        <w:t>药品常规项目检查结果评估</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如果试验发现出现溶液颜色加深、产生可见异物、</w:t>
      </w:r>
      <w:r w:rsidRPr="00457BA9">
        <w:rPr>
          <w:rFonts w:eastAsia="仿宋_GB2312"/>
          <w:kern w:val="0"/>
          <w:sz w:val="32"/>
          <w:szCs w:val="32"/>
        </w:rPr>
        <w:t>pH</w:t>
      </w:r>
      <w:r w:rsidRPr="00457BA9">
        <w:rPr>
          <w:rFonts w:eastAsia="仿宋_GB2312" w:hint="eastAsia"/>
          <w:kern w:val="0"/>
          <w:sz w:val="32"/>
          <w:szCs w:val="32"/>
        </w:rPr>
        <w:t>值变化等现象，应分析原因并对试验结果进行评估。如果上述变化已达到不可接受的程度，且为玻璃容器所致，应考虑采用其他类型玻璃包装容器以及其他形式的包装容器；如果是其他原因所致，应对产品进行优化，如完善制剂的处方工艺等以使产品符合相关质量控制要求。</w:t>
      </w:r>
    </w:p>
    <w:p w:rsidR="00F55F1C" w:rsidRPr="00457BA9" w:rsidRDefault="00F55F1C" w:rsidP="00F55F1C">
      <w:pPr>
        <w:autoSpaceDE w:val="0"/>
        <w:autoSpaceDN w:val="0"/>
        <w:adjustRightInd w:val="0"/>
        <w:snapToGrid w:val="0"/>
        <w:spacing w:line="560" w:lineRule="exact"/>
        <w:ind w:firstLineChars="200" w:firstLine="640"/>
        <w:outlineLvl w:val="0"/>
        <w:rPr>
          <w:rFonts w:eastAsia="楷体_GB2312"/>
          <w:bCs/>
          <w:kern w:val="0"/>
          <w:sz w:val="32"/>
          <w:szCs w:val="32"/>
        </w:rPr>
      </w:pPr>
      <w:r w:rsidRPr="00457BA9">
        <w:rPr>
          <w:rFonts w:eastAsia="楷体_GB2312"/>
          <w:bCs/>
          <w:kern w:val="0"/>
          <w:sz w:val="32"/>
          <w:szCs w:val="32"/>
        </w:rPr>
        <w:t>4.3</w:t>
      </w:r>
      <w:r>
        <w:rPr>
          <w:rFonts w:eastAsia="楷体_GB2312" w:hint="eastAsia"/>
          <w:bCs/>
          <w:kern w:val="0"/>
          <w:sz w:val="32"/>
          <w:szCs w:val="32"/>
        </w:rPr>
        <w:t xml:space="preserve"> </w:t>
      </w:r>
      <w:r w:rsidRPr="00457BA9">
        <w:rPr>
          <w:rFonts w:eastAsia="楷体_GB2312" w:hint="eastAsia"/>
          <w:bCs/>
          <w:kern w:val="0"/>
          <w:sz w:val="32"/>
          <w:szCs w:val="32"/>
        </w:rPr>
        <w:t>迁移试验结果评估</w:t>
      </w:r>
    </w:p>
    <w:p w:rsidR="00F55F1C" w:rsidRDefault="00F55F1C" w:rsidP="00F55F1C">
      <w:pPr>
        <w:adjustRightInd w:val="0"/>
        <w:snapToGrid w:val="0"/>
        <w:spacing w:line="520" w:lineRule="exact"/>
        <w:ind w:firstLineChars="200" w:firstLine="640"/>
        <w:rPr>
          <w:rFonts w:eastAsia="仿宋_GB2312"/>
          <w:kern w:val="0"/>
          <w:sz w:val="32"/>
          <w:szCs w:val="32"/>
        </w:rPr>
      </w:pPr>
      <w:r w:rsidRPr="00457BA9">
        <w:rPr>
          <w:rFonts w:eastAsia="仿宋_GB2312" w:hint="eastAsia"/>
          <w:kern w:val="0"/>
          <w:sz w:val="32"/>
          <w:szCs w:val="32"/>
        </w:rPr>
        <w:t>根据浸出物的</w:t>
      </w:r>
      <w:r w:rsidRPr="00457BA9">
        <w:rPr>
          <w:rFonts w:eastAsia="仿宋_GB2312"/>
          <w:kern w:val="0"/>
          <w:sz w:val="32"/>
          <w:szCs w:val="32"/>
        </w:rPr>
        <w:t>PDE</w:t>
      </w:r>
      <w:r w:rsidRPr="00457BA9">
        <w:rPr>
          <w:rFonts w:eastAsia="仿宋_GB2312" w:hint="eastAsia"/>
          <w:kern w:val="0"/>
          <w:sz w:val="32"/>
          <w:szCs w:val="32"/>
        </w:rPr>
        <w:t>值、每日最大用药剂量计算每单个包装</w:t>
      </w:r>
    </w:p>
    <w:p w:rsidR="00F55F1C" w:rsidRPr="00457BA9" w:rsidRDefault="00F55F1C" w:rsidP="00F55F1C">
      <w:pPr>
        <w:adjustRightInd w:val="0"/>
        <w:snapToGrid w:val="0"/>
        <w:spacing w:line="620" w:lineRule="exact"/>
        <w:rPr>
          <w:rFonts w:eastAsia="仿宋_GB2312"/>
          <w:kern w:val="0"/>
          <w:sz w:val="32"/>
          <w:szCs w:val="32"/>
        </w:rPr>
      </w:pPr>
      <w:r w:rsidRPr="00457BA9">
        <w:rPr>
          <w:rFonts w:eastAsia="仿宋_GB2312" w:hint="eastAsia"/>
          <w:kern w:val="0"/>
          <w:sz w:val="32"/>
          <w:szCs w:val="32"/>
        </w:rPr>
        <w:lastRenderedPageBreak/>
        <w:t>容器中各浸出物的最大允许浓度，并在此基础上经计算得到分析评价阈值（</w:t>
      </w:r>
      <w:r w:rsidRPr="00457BA9">
        <w:rPr>
          <w:rFonts w:eastAsia="仿宋_GB2312" w:hint="eastAsia"/>
          <w:kern w:val="0"/>
          <w:sz w:val="32"/>
          <w:szCs w:val="32"/>
        </w:rPr>
        <w:t>Analytical Evaluation Threshold</w:t>
      </w:r>
      <w:r w:rsidRPr="00457BA9">
        <w:rPr>
          <w:rFonts w:eastAsia="仿宋_GB2312" w:hint="eastAsia"/>
          <w:kern w:val="0"/>
          <w:sz w:val="32"/>
          <w:szCs w:val="32"/>
        </w:rPr>
        <w:t>，</w:t>
      </w:r>
      <w:r w:rsidRPr="00457BA9">
        <w:rPr>
          <w:rFonts w:eastAsia="仿宋_GB2312"/>
          <w:kern w:val="0"/>
          <w:sz w:val="32"/>
          <w:szCs w:val="32"/>
        </w:rPr>
        <w:t>AET</w:t>
      </w:r>
      <w:r w:rsidRPr="00457BA9">
        <w:rPr>
          <w:rFonts w:eastAsia="仿宋_GB2312" w:hint="eastAsia"/>
          <w:kern w:val="0"/>
          <w:sz w:val="32"/>
          <w:szCs w:val="32"/>
        </w:rPr>
        <w:t>），分析测试方法应满足该</w:t>
      </w:r>
      <w:r w:rsidRPr="00457BA9">
        <w:rPr>
          <w:rFonts w:eastAsia="仿宋_GB2312"/>
          <w:kern w:val="0"/>
          <w:sz w:val="32"/>
          <w:szCs w:val="32"/>
        </w:rPr>
        <w:t>AET</w:t>
      </w:r>
      <w:r w:rsidRPr="00457BA9">
        <w:rPr>
          <w:rFonts w:eastAsia="仿宋_GB2312" w:hint="eastAsia"/>
          <w:kern w:val="0"/>
          <w:sz w:val="32"/>
          <w:szCs w:val="32"/>
        </w:rPr>
        <w:t>值的测定要求。</w:t>
      </w:r>
    </w:p>
    <w:p w:rsidR="00F55F1C" w:rsidRPr="00457BA9" w:rsidRDefault="00F55F1C" w:rsidP="00F55F1C">
      <w:pPr>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在提交注册资料时，应提供浸出物的</w:t>
      </w:r>
      <w:r w:rsidRPr="00457BA9">
        <w:rPr>
          <w:rFonts w:eastAsia="仿宋_GB2312"/>
          <w:kern w:val="0"/>
          <w:sz w:val="32"/>
          <w:szCs w:val="32"/>
        </w:rPr>
        <w:t>PDE</w:t>
      </w:r>
      <w:r w:rsidRPr="00457BA9">
        <w:rPr>
          <w:rFonts w:eastAsia="仿宋_GB2312" w:hint="eastAsia"/>
          <w:kern w:val="0"/>
          <w:sz w:val="32"/>
          <w:szCs w:val="32"/>
        </w:rPr>
        <w:t>、</w:t>
      </w:r>
      <w:r w:rsidRPr="00457BA9">
        <w:rPr>
          <w:rFonts w:eastAsia="仿宋_GB2312"/>
          <w:kern w:val="0"/>
          <w:sz w:val="32"/>
          <w:szCs w:val="32"/>
        </w:rPr>
        <w:t>AET</w:t>
      </w:r>
      <w:r w:rsidRPr="00457BA9">
        <w:rPr>
          <w:rFonts w:eastAsia="仿宋_GB2312" w:hint="eastAsia"/>
          <w:kern w:val="0"/>
          <w:sz w:val="32"/>
          <w:szCs w:val="32"/>
        </w:rPr>
        <w:t>等数值及其计算过程。</w:t>
      </w:r>
    </w:p>
    <w:p w:rsidR="00F55F1C" w:rsidRPr="00457BA9" w:rsidRDefault="00F55F1C" w:rsidP="00F55F1C">
      <w:pPr>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如果迁移试验显示浸出物含量低于</w:t>
      </w:r>
      <w:r w:rsidRPr="00457BA9">
        <w:rPr>
          <w:rFonts w:eastAsia="仿宋_GB2312"/>
          <w:kern w:val="0"/>
          <w:sz w:val="32"/>
          <w:szCs w:val="32"/>
        </w:rPr>
        <w:t>PDE</w:t>
      </w:r>
      <w:r w:rsidRPr="00457BA9">
        <w:rPr>
          <w:rFonts w:eastAsia="仿宋_GB2312" w:hint="eastAsia"/>
          <w:kern w:val="0"/>
          <w:sz w:val="32"/>
          <w:szCs w:val="32"/>
        </w:rPr>
        <w:t>时，可认为浸出物的量不会改变药品的安全性，对患者的安全性风险小。</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如果迁移试验显示浸出物的含量高于</w:t>
      </w:r>
      <w:r w:rsidRPr="00457BA9">
        <w:rPr>
          <w:rFonts w:eastAsia="仿宋_GB2312"/>
          <w:kern w:val="0"/>
          <w:sz w:val="32"/>
          <w:szCs w:val="32"/>
        </w:rPr>
        <w:t>PDE</w:t>
      </w:r>
      <w:r w:rsidRPr="00457BA9">
        <w:rPr>
          <w:rFonts w:eastAsia="仿宋_GB2312" w:hint="eastAsia"/>
          <w:kern w:val="0"/>
          <w:sz w:val="32"/>
          <w:szCs w:val="32"/>
        </w:rPr>
        <w:t>，则认为包装容器与药品不具有相容性，建议更换包装材料。</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玻璃容器中常用金属元素（注射途径）的每日允许摄入量（</w:t>
      </w:r>
      <w:r w:rsidRPr="00457BA9">
        <w:rPr>
          <w:rFonts w:eastAsia="仿宋_GB2312" w:hint="eastAsia"/>
          <w:kern w:val="0"/>
          <w:sz w:val="32"/>
          <w:szCs w:val="32"/>
        </w:rPr>
        <w:t>PDE</w:t>
      </w:r>
      <w:r w:rsidRPr="00457BA9">
        <w:rPr>
          <w:rFonts w:eastAsia="仿宋_GB2312" w:hint="eastAsia"/>
          <w:kern w:val="0"/>
          <w:sz w:val="32"/>
          <w:szCs w:val="32"/>
        </w:rPr>
        <w:t>）请参见附件</w:t>
      </w:r>
      <w:r w:rsidRPr="00457BA9">
        <w:rPr>
          <w:rFonts w:eastAsia="仿宋_GB2312" w:hint="eastAsia"/>
          <w:kern w:val="0"/>
          <w:sz w:val="32"/>
          <w:szCs w:val="32"/>
        </w:rPr>
        <w:t>6</w:t>
      </w:r>
      <w:r w:rsidRPr="00457BA9">
        <w:rPr>
          <w:rFonts w:eastAsia="仿宋_GB2312" w:hint="eastAsia"/>
          <w:kern w:val="0"/>
          <w:sz w:val="32"/>
          <w:szCs w:val="32"/>
        </w:rPr>
        <w:t>。</w:t>
      </w:r>
    </w:p>
    <w:p w:rsidR="00F55F1C" w:rsidRPr="00457BA9" w:rsidRDefault="00F55F1C" w:rsidP="00F55F1C">
      <w:pPr>
        <w:autoSpaceDE w:val="0"/>
        <w:autoSpaceDN w:val="0"/>
        <w:adjustRightInd w:val="0"/>
        <w:snapToGrid w:val="0"/>
        <w:spacing w:line="620" w:lineRule="exact"/>
        <w:ind w:firstLineChars="200" w:firstLine="640"/>
        <w:outlineLvl w:val="0"/>
        <w:rPr>
          <w:rFonts w:eastAsia="楷体_GB2312"/>
          <w:bCs/>
          <w:kern w:val="0"/>
          <w:sz w:val="32"/>
          <w:szCs w:val="32"/>
        </w:rPr>
      </w:pPr>
      <w:r w:rsidRPr="00457BA9">
        <w:rPr>
          <w:rFonts w:eastAsia="楷体_GB2312"/>
          <w:bCs/>
          <w:kern w:val="0"/>
          <w:sz w:val="32"/>
          <w:szCs w:val="32"/>
        </w:rPr>
        <w:t xml:space="preserve">4.4 </w:t>
      </w:r>
      <w:r w:rsidRPr="00457BA9">
        <w:rPr>
          <w:rFonts w:eastAsia="楷体_GB2312" w:hint="eastAsia"/>
          <w:bCs/>
          <w:kern w:val="0"/>
          <w:sz w:val="32"/>
          <w:szCs w:val="32"/>
        </w:rPr>
        <w:t>吸附试验结果评估</w:t>
      </w:r>
    </w:p>
    <w:p w:rsidR="00F55F1C" w:rsidRPr="00457BA9" w:rsidRDefault="00F55F1C" w:rsidP="00F55F1C">
      <w:pPr>
        <w:spacing w:line="620" w:lineRule="exact"/>
        <w:ind w:firstLineChars="200" w:firstLine="640"/>
        <w:rPr>
          <w:rFonts w:eastAsia="仿宋_GB2312"/>
          <w:kern w:val="0"/>
          <w:sz w:val="32"/>
          <w:szCs w:val="32"/>
        </w:rPr>
      </w:pPr>
      <w:r w:rsidRPr="00457BA9">
        <w:rPr>
          <w:rFonts w:eastAsia="仿宋_GB2312" w:hint="eastAsia"/>
          <w:kern w:val="0"/>
          <w:sz w:val="32"/>
          <w:szCs w:val="32"/>
        </w:rPr>
        <w:t>如果吸附试验结果显示包装容器对药品或辅料存在较强吸附，并对药品质量产生了显著影响，建议采用适宜的方法消除对产品质量的影响，比如，更换包装容器。</w:t>
      </w:r>
    </w:p>
    <w:p w:rsidR="00F55F1C" w:rsidRPr="00457BA9" w:rsidRDefault="00F55F1C" w:rsidP="00F55F1C">
      <w:pPr>
        <w:autoSpaceDE w:val="0"/>
        <w:autoSpaceDN w:val="0"/>
        <w:adjustRightInd w:val="0"/>
        <w:snapToGrid w:val="0"/>
        <w:spacing w:line="620" w:lineRule="exact"/>
        <w:ind w:firstLineChars="200" w:firstLine="640"/>
        <w:outlineLvl w:val="0"/>
        <w:rPr>
          <w:rFonts w:eastAsia="楷体_GB2312"/>
          <w:bCs/>
          <w:kern w:val="0"/>
          <w:sz w:val="32"/>
          <w:szCs w:val="32"/>
        </w:rPr>
      </w:pPr>
      <w:r w:rsidRPr="00457BA9">
        <w:rPr>
          <w:rFonts w:eastAsia="楷体_GB2312"/>
          <w:bCs/>
          <w:kern w:val="0"/>
          <w:sz w:val="32"/>
          <w:szCs w:val="32"/>
        </w:rPr>
        <w:t xml:space="preserve">4.5 </w:t>
      </w:r>
      <w:r w:rsidRPr="00457BA9">
        <w:rPr>
          <w:rFonts w:eastAsia="楷体_GB2312" w:hint="eastAsia"/>
          <w:bCs/>
          <w:kern w:val="0"/>
          <w:sz w:val="32"/>
          <w:szCs w:val="32"/>
        </w:rPr>
        <w:t>药品对玻璃内表面的影响结果评估</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在模拟试验和迁移试验过程中，如果肉眼观察玻璃表面出现侵蚀痕迹；或者出现玻屑或者脱片，或者肉眼可见以及不可见微粒的数量超出药典控制要求，则提示药品质量已经产生了显著影响，建议更换包装容器。</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仿宋_GB2312" w:hint="eastAsia"/>
          <w:kern w:val="0"/>
          <w:sz w:val="32"/>
          <w:szCs w:val="32"/>
        </w:rPr>
        <w:t>如果可见及不可见微粒检查均符合要求，但溶液中</w:t>
      </w:r>
      <w:r w:rsidRPr="00457BA9">
        <w:rPr>
          <w:rFonts w:eastAsia="仿宋_GB2312" w:hint="eastAsia"/>
          <w:kern w:val="0"/>
          <w:sz w:val="32"/>
          <w:szCs w:val="32"/>
        </w:rPr>
        <w:t>SiO2</w:t>
      </w:r>
      <w:r w:rsidRPr="00457BA9">
        <w:rPr>
          <w:rFonts w:eastAsia="仿宋_GB2312" w:hint="eastAsia"/>
          <w:kern w:val="0"/>
          <w:sz w:val="32"/>
          <w:szCs w:val="32"/>
        </w:rPr>
        <w:t>浓度、</w:t>
      </w:r>
      <w:r w:rsidRPr="00457BA9">
        <w:rPr>
          <w:rFonts w:eastAsia="仿宋_GB2312" w:hint="eastAsia"/>
          <w:kern w:val="0"/>
          <w:sz w:val="32"/>
          <w:szCs w:val="32"/>
        </w:rPr>
        <w:lastRenderedPageBreak/>
        <w:t>Si/B</w:t>
      </w:r>
      <w:r w:rsidRPr="00457BA9">
        <w:rPr>
          <w:rFonts w:eastAsia="仿宋_GB2312" w:hint="eastAsia"/>
          <w:kern w:val="0"/>
          <w:sz w:val="32"/>
          <w:szCs w:val="32"/>
        </w:rPr>
        <w:t>或</w:t>
      </w:r>
      <w:r w:rsidRPr="00457BA9">
        <w:rPr>
          <w:rFonts w:eastAsia="仿宋_GB2312" w:hint="eastAsia"/>
          <w:kern w:val="0"/>
          <w:sz w:val="32"/>
          <w:szCs w:val="32"/>
        </w:rPr>
        <w:t>Si/Al</w:t>
      </w:r>
      <w:r w:rsidRPr="00457BA9">
        <w:rPr>
          <w:rFonts w:eastAsia="仿宋_GB2312" w:hint="eastAsia"/>
          <w:kern w:val="0"/>
          <w:sz w:val="32"/>
          <w:szCs w:val="32"/>
        </w:rPr>
        <w:t>比值发生显著变化，提示玻璃容器</w:t>
      </w:r>
      <w:proofErr w:type="gramStart"/>
      <w:r w:rsidRPr="00457BA9">
        <w:rPr>
          <w:rFonts w:eastAsia="仿宋_GB2312" w:hint="eastAsia"/>
          <w:kern w:val="0"/>
          <w:sz w:val="32"/>
          <w:szCs w:val="32"/>
        </w:rPr>
        <w:t>产生脱片和</w:t>
      </w:r>
      <w:proofErr w:type="gramEnd"/>
      <w:r w:rsidRPr="00457BA9">
        <w:rPr>
          <w:rFonts w:eastAsia="仿宋_GB2312" w:hint="eastAsia"/>
          <w:kern w:val="0"/>
          <w:sz w:val="32"/>
          <w:szCs w:val="32"/>
        </w:rPr>
        <w:t>微粒（玻屑）的风险及趋势在增大，需继续开展相关研究，并持续监测玻璃容器内表面的变化，或者更换包装容器。</w:t>
      </w:r>
    </w:p>
    <w:p w:rsidR="00F55F1C" w:rsidRPr="00C15CDC" w:rsidRDefault="00F55F1C" w:rsidP="00F55F1C">
      <w:pPr>
        <w:autoSpaceDE w:val="0"/>
        <w:autoSpaceDN w:val="0"/>
        <w:adjustRightInd w:val="0"/>
        <w:snapToGrid w:val="0"/>
        <w:spacing w:line="620" w:lineRule="exact"/>
        <w:ind w:firstLineChars="200" w:firstLine="640"/>
        <w:outlineLvl w:val="0"/>
        <w:rPr>
          <w:rFonts w:ascii="黑体" w:eastAsia="黑体" w:hAnsi="黑体" w:cs="华文仿宋"/>
          <w:kern w:val="0"/>
          <w:sz w:val="32"/>
          <w:szCs w:val="32"/>
        </w:rPr>
      </w:pPr>
      <w:r w:rsidRPr="00C15CDC">
        <w:rPr>
          <w:rFonts w:ascii="黑体" w:eastAsia="黑体" w:hAnsi="黑体" w:cs="华文仿宋" w:hint="eastAsia"/>
          <w:kern w:val="0"/>
          <w:sz w:val="32"/>
          <w:szCs w:val="32"/>
        </w:rPr>
        <w:t>五、名词解释</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楷体_GB2312" w:hint="eastAsia"/>
          <w:bCs/>
          <w:kern w:val="0"/>
          <w:sz w:val="32"/>
          <w:szCs w:val="32"/>
        </w:rPr>
        <w:t>药用玻璃：</w:t>
      </w:r>
      <w:r w:rsidRPr="00457BA9">
        <w:rPr>
          <w:rFonts w:eastAsia="仿宋_GB2312" w:hint="eastAsia"/>
          <w:kern w:val="0"/>
          <w:sz w:val="32"/>
          <w:szCs w:val="32"/>
        </w:rPr>
        <w:t>具有良好化学稳定性和透明性，且能稳定贮存医药产品的玻璃材料或制品。</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楷体_GB2312" w:hint="eastAsia"/>
          <w:bCs/>
          <w:kern w:val="0"/>
          <w:sz w:val="32"/>
          <w:szCs w:val="32"/>
        </w:rPr>
        <w:t>管制玻璃容器、模制玻璃容器：</w:t>
      </w:r>
      <w:r w:rsidRPr="00457BA9">
        <w:rPr>
          <w:rFonts w:eastAsia="仿宋_GB2312" w:hint="eastAsia"/>
          <w:kern w:val="0"/>
          <w:sz w:val="32"/>
          <w:szCs w:val="32"/>
        </w:rPr>
        <w:t>是按玻璃成型方法对玻璃容器的分类方法，模制瓶是借助各种不同形状的模具成型的产品，管制玻璃容器是用已拉制成型的各类玻璃管二次加工成型的产品。</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楷体_GB2312" w:hint="eastAsia"/>
          <w:bCs/>
          <w:kern w:val="0"/>
          <w:sz w:val="32"/>
          <w:szCs w:val="32"/>
        </w:rPr>
        <w:t>玻璃内表面耐水性：</w:t>
      </w:r>
      <w:r w:rsidRPr="00457BA9">
        <w:rPr>
          <w:rFonts w:eastAsia="仿宋_GB2312" w:hint="eastAsia"/>
          <w:kern w:val="0"/>
          <w:sz w:val="32"/>
          <w:szCs w:val="32"/>
        </w:rPr>
        <w:t>是一种表面试验法，是用规定的水注入被测容器到规定的容量，并在规定温度、时间下进行处理后，通过滴定浸提液来</w:t>
      </w:r>
      <w:proofErr w:type="gramStart"/>
      <w:r w:rsidRPr="00457BA9">
        <w:rPr>
          <w:rFonts w:eastAsia="仿宋_GB2312" w:hint="eastAsia"/>
          <w:kern w:val="0"/>
          <w:sz w:val="32"/>
          <w:szCs w:val="32"/>
        </w:rPr>
        <w:t>测量水</w:t>
      </w:r>
      <w:proofErr w:type="gramEnd"/>
      <w:r w:rsidRPr="00457BA9">
        <w:rPr>
          <w:rFonts w:eastAsia="仿宋_GB2312" w:hint="eastAsia"/>
          <w:kern w:val="0"/>
          <w:sz w:val="32"/>
          <w:szCs w:val="32"/>
        </w:rPr>
        <w:t>对容器内表面的侵蚀程度。</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楷体_GB2312" w:hint="eastAsia"/>
          <w:bCs/>
          <w:kern w:val="0"/>
          <w:sz w:val="32"/>
          <w:szCs w:val="32"/>
        </w:rPr>
        <w:t>玻璃内表面耐受性：</w:t>
      </w:r>
      <w:r w:rsidRPr="00457BA9">
        <w:rPr>
          <w:rFonts w:eastAsia="仿宋_GB2312" w:hint="eastAsia"/>
          <w:kern w:val="0"/>
          <w:sz w:val="32"/>
          <w:szCs w:val="32"/>
        </w:rPr>
        <w:t>指玻璃容器在其包装内容物期间，内表面承受水、酸、碱等物质的物理、化学侵蚀以及温度、压力等环境因素作用的力。</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楷体_GB2312" w:hint="eastAsia"/>
          <w:bCs/>
          <w:kern w:val="0"/>
          <w:sz w:val="32"/>
          <w:szCs w:val="32"/>
        </w:rPr>
        <w:t>平均线热膨胀系数：</w:t>
      </w:r>
      <w:r w:rsidRPr="00457BA9">
        <w:rPr>
          <w:rFonts w:eastAsia="仿宋_GB2312" w:hint="eastAsia"/>
          <w:kern w:val="0"/>
          <w:sz w:val="32"/>
          <w:szCs w:val="32"/>
        </w:rPr>
        <w:t>（</w:t>
      </w:r>
      <w:r w:rsidRPr="00457BA9">
        <w:rPr>
          <w:rFonts w:eastAsia="仿宋_GB2312"/>
          <w:kern w:val="0"/>
          <w:sz w:val="32"/>
          <w:szCs w:val="32"/>
        </w:rPr>
        <w:t xml:space="preserve">Coefficient of </w:t>
      </w:r>
      <w:r w:rsidRPr="00457BA9">
        <w:rPr>
          <w:rFonts w:eastAsia="仿宋_GB2312" w:hint="eastAsia"/>
          <w:kern w:val="0"/>
          <w:sz w:val="32"/>
          <w:szCs w:val="32"/>
        </w:rPr>
        <w:t xml:space="preserve">Mean Linear </w:t>
      </w:r>
      <w:r w:rsidRPr="00457BA9">
        <w:rPr>
          <w:rFonts w:eastAsia="仿宋_GB2312"/>
          <w:kern w:val="0"/>
          <w:sz w:val="32"/>
          <w:szCs w:val="32"/>
        </w:rPr>
        <w:t>Thermal Expansion</w:t>
      </w:r>
      <w:r w:rsidRPr="00457BA9">
        <w:rPr>
          <w:rFonts w:eastAsia="仿宋_GB2312"/>
          <w:kern w:val="0"/>
          <w:sz w:val="32"/>
          <w:szCs w:val="32"/>
        </w:rPr>
        <w:t>，简称</w:t>
      </w:r>
      <w:r w:rsidRPr="00457BA9">
        <w:rPr>
          <w:rFonts w:eastAsia="仿宋_GB2312"/>
          <w:kern w:val="0"/>
          <w:sz w:val="32"/>
          <w:szCs w:val="32"/>
        </w:rPr>
        <w:t>COE</w:t>
      </w:r>
      <w:r w:rsidRPr="00457BA9">
        <w:rPr>
          <w:rFonts w:eastAsia="仿宋_GB2312" w:hint="eastAsia"/>
          <w:kern w:val="0"/>
          <w:sz w:val="32"/>
          <w:szCs w:val="32"/>
        </w:rPr>
        <w:t>）：平均线热膨胀系数是玻璃重要的热学性质，是指温度升高</w:t>
      </w:r>
      <w:r w:rsidRPr="00457BA9">
        <w:rPr>
          <w:rFonts w:eastAsia="仿宋_GB2312"/>
          <w:kern w:val="0"/>
          <w:sz w:val="32"/>
          <w:szCs w:val="32"/>
        </w:rPr>
        <w:t>1</w:t>
      </w:r>
      <w:r w:rsidRPr="00457BA9">
        <w:rPr>
          <w:rFonts w:eastAsia="仿宋_GB2312" w:hint="eastAsia"/>
          <w:kern w:val="0"/>
          <w:sz w:val="32"/>
          <w:szCs w:val="32"/>
        </w:rPr>
        <w:t>℃，单位长度上的伸长量。</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楷体_GB2312" w:hint="eastAsia"/>
          <w:bCs/>
          <w:kern w:val="0"/>
          <w:sz w:val="32"/>
          <w:szCs w:val="32"/>
        </w:rPr>
        <w:t>表面处理：</w:t>
      </w:r>
      <w:r w:rsidRPr="00457BA9">
        <w:rPr>
          <w:rFonts w:eastAsia="仿宋_GB2312" w:hint="eastAsia"/>
          <w:kern w:val="0"/>
          <w:sz w:val="32"/>
          <w:szCs w:val="32"/>
        </w:rPr>
        <w:t>为提高玻璃表面的某些性能对玻璃容器表面进行处理的工艺，包括为减少制品碱金属离子的中性化处理、为提高</w:t>
      </w:r>
      <w:r w:rsidRPr="00457BA9">
        <w:rPr>
          <w:rFonts w:eastAsia="仿宋_GB2312" w:hint="eastAsia"/>
          <w:kern w:val="0"/>
          <w:sz w:val="32"/>
          <w:szCs w:val="32"/>
        </w:rPr>
        <w:lastRenderedPageBreak/>
        <w:t>制品表面憎水性的硅化镀膜等。</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楷体_GB2312" w:hint="eastAsia"/>
          <w:bCs/>
          <w:kern w:val="0"/>
          <w:sz w:val="32"/>
          <w:szCs w:val="32"/>
        </w:rPr>
        <w:t>镀膜玻璃：</w:t>
      </w:r>
      <w:r w:rsidRPr="00457BA9">
        <w:rPr>
          <w:rFonts w:eastAsia="仿宋_GB2312" w:hint="eastAsia"/>
          <w:kern w:val="0"/>
          <w:sz w:val="32"/>
          <w:szCs w:val="32"/>
        </w:rPr>
        <w:t>为改变玻璃表面的某些性能，通过不同的镀膜工艺给容器玻璃内表面覆上特殊的化学成分（如化学气相沉积</w:t>
      </w:r>
      <w:r w:rsidRPr="00457BA9">
        <w:rPr>
          <w:rFonts w:eastAsia="仿宋_GB2312" w:hint="eastAsia"/>
          <w:kern w:val="0"/>
          <w:sz w:val="32"/>
          <w:szCs w:val="32"/>
        </w:rPr>
        <w:t>VCD</w:t>
      </w:r>
      <w:r w:rsidRPr="00457BA9">
        <w:rPr>
          <w:rFonts w:eastAsia="仿宋_GB2312" w:hint="eastAsia"/>
          <w:kern w:val="0"/>
          <w:sz w:val="32"/>
          <w:szCs w:val="32"/>
        </w:rPr>
        <w:t>）</w:t>
      </w:r>
      <w:r w:rsidRPr="00457BA9">
        <w:rPr>
          <w:rFonts w:eastAsia="仿宋_GB2312"/>
          <w:kern w:val="0"/>
          <w:sz w:val="32"/>
          <w:szCs w:val="32"/>
        </w:rPr>
        <w:t>，并经过一定的工艺使其与玻璃制品烧结一体。</w:t>
      </w:r>
      <w:r w:rsidRPr="00457BA9">
        <w:rPr>
          <w:rFonts w:eastAsia="仿宋_GB2312" w:hint="eastAsia"/>
          <w:kern w:val="0"/>
          <w:sz w:val="32"/>
          <w:szCs w:val="32"/>
        </w:rPr>
        <w:t>根据膜层的成分不同分为有机硅镀膜玻璃和无机硅镀膜玻璃。</w:t>
      </w:r>
    </w:p>
    <w:p w:rsidR="00F55F1C" w:rsidRPr="00457BA9" w:rsidRDefault="00F55F1C" w:rsidP="00F55F1C">
      <w:pPr>
        <w:autoSpaceDE w:val="0"/>
        <w:autoSpaceDN w:val="0"/>
        <w:adjustRightInd w:val="0"/>
        <w:snapToGrid w:val="0"/>
        <w:spacing w:line="620" w:lineRule="exact"/>
        <w:ind w:firstLineChars="200" w:firstLine="640"/>
        <w:rPr>
          <w:rFonts w:eastAsia="仿宋_GB2312"/>
          <w:kern w:val="0"/>
          <w:sz w:val="32"/>
          <w:szCs w:val="32"/>
        </w:rPr>
      </w:pPr>
      <w:r w:rsidRPr="00457BA9">
        <w:rPr>
          <w:rFonts w:eastAsia="楷体_GB2312" w:hint="eastAsia"/>
          <w:bCs/>
          <w:kern w:val="0"/>
          <w:sz w:val="32"/>
          <w:szCs w:val="32"/>
        </w:rPr>
        <w:t>脱片：</w:t>
      </w:r>
      <w:r w:rsidRPr="00457BA9">
        <w:rPr>
          <w:rFonts w:eastAsia="仿宋_GB2312" w:hint="eastAsia"/>
          <w:kern w:val="0"/>
          <w:sz w:val="32"/>
          <w:szCs w:val="32"/>
        </w:rPr>
        <w:t>玻璃内表面的碱金属离子受溶液化学侵蚀，在玻璃表面形成</w:t>
      </w:r>
      <w:proofErr w:type="gramStart"/>
      <w:r w:rsidRPr="00457BA9">
        <w:rPr>
          <w:rFonts w:eastAsia="仿宋_GB2312" w:hint="eastAsia"/>
          <w:kern w:val="0"/>
          <w:sz w:val="32"/>
          <w:szCs w:val="32"/>
        </w:rPr>
        <w:t>一</w:t>
      </w:r>
      <w:proofErr w:type="gramEnd"/>
      <w:r w:rsidRPr="00457BA9">
        <w:rPr>
          <w:rFonts w:eastAsia="仿宋_GB2312" w:hint="eastAsia"/>
          <w:kern w:val="0"/>
          <w:sz w:val="32"/>
          <w:szCs w:val="32"/>
        </w:rPr>
        <w:t>层高硅氧层。高</w:t>
      </w:r>
      <w:proofErr w:type="gramStart"/>
      <w:r w:rsidRPr="00457BA9">
        <w:rPr>
          <w:rFonts w:eastAsia="仿宋_GB2312" w:hint="eastAsia"/>
          <w:kern w:val="0"/>
          <w:sz w:val="32"/>
          <w:szCs w:val="32"/>
        </w:rPr>
        <w:t>硅氧层与</w:t>
      </w:r>
      <w:proofErr w:type="gramEnd"/>
      <w:r w:rsidRPr="00457BA9">
        <w:rPr>
          <w:rFonts w:eastAsia="仿宋_GB2312" w:hint="eastAsia"/>
          <w:kern w:val="0"/>
          <w:sz w:val="32"/>
          <w:szCs w:val="32"/>
        </w:rPr>
        <w:t>玻璃内部的未变质玻璃膨胀系数不同，在温度变化时两者之间会产生应力，导致高</w:t>
      </w:r>
      <w:proofErr w:type="gramStart"/>
      <w:r w:rsidRPr="00457BA9">
        <w:rPr>
          <w:rFonts w:eastAsia="仿宋_GB2312" w:hint="eastAsia"/>
          <w:kern w:val="0"/>
          <w:sz w:val="32"/>
          <w:szCs w:val="32"/>
        </w:rPr>
        <w:t>硅氧层从</w:t>
      </w:r>
      <w:proofErr w:type="gramEnd"/>
      <w:r w:rsidRPr="00457BA9">
        <w:rPr>
          <w:rFonts w:eastAsia="仿宋_GB2312" w:hint="eastAsia"/>
          <w:kern w:val="0"/>
          <w:sz w:val="32"/>
          <w:szCs w:val="32"/>
        </w:rPr>
        <w:t>主体玻璃上脱落到溶液中形成</w:t>
      </w:r>
      <w:proofErr w:type="gramStart"/>
      <w:r w:rsidRPr="00457BA9">
        <w:rPr>
          <w:rFonts w:eastAsia="仿宋_GB2312" w:hint="eastAsia"/>
          <w:kern w:val="0"/>
          <w:sz w:val="32"/>
          <w:szCs w:val="32"/>
        </w:rPr>
        <w:t>玻璃脱片的</w:t>
      </w:r>
      <w:proofErr w:type="gramEnd"/>
      <w:r w:rsidRPr="00457BA9">
        <w:rPr>
          <w:rFonts w:eastAsia="仿宋_GB2312" w:hint="eastAsia"/>
          <w:kern w:val="0"/>
          <w:sz w:val="32"/>
          <w:szCs w:val="32"/>
        </w:rPr>
        <w:t>现象。除上述原因以外，也可能存在其他导致</w:t>
      </w:r>
      <w:proofErr w:type="gramStart"/>
      <w:r w:rsidRPr="00457BA9">
        <w:rPr>
          <w:rFonts w:eastAsia="仿宋_GB2312" w:hint="eastAsia"/>
          <w:kern w:val="0"/>
          <w:sz w:val="32"/>
          <w:szCs w:val="32"/>
        </w:rPr>
        <w:t>玻璃脱片的</w:t>
      </w:r>
      <w:proofErr w:type="gramEnd"/>
      <w:r w:rsidRPr="00457BA9">
        <w:rPr>
          <w:rFonts w:eastAsia="仿宋_GB2312" w:hint="eastAsia"/>
          <w:kern w:val="0"/>
          <w:sz w:val="32"/>
          <w:szCs w:val="32"/>
        </w:rPr>
        <w:t>因素。</w:t>
      </w:r>
    </w:p>
    <w:p w:rsidR="00F55F1C" w:rsidRPr="00457BA9" w:rsidRDefault="00F55F1C" w:rsidP="00F55F1C">
      <w:pPr>
        <w:spacing w:line="620" w:lineRule="exact"/>
        <w:ind w:firstLineChars="200" w:firstLine="640"/>
        <w:rPr>
          <w:rFonts w:eastAsia="仿宋_GB2312"/>
          <w:kern w:val="0"/>
          <w:sz w:val="32"/>
          <w:szCs w:val="32"/>
        </w:rPr>
      </w:pPr>
      <w:r w:rsidRPr="00457BA9">
        <w:rPr>
          <w:rFonts w:eastAsia="楷体_GB2312" w:hint="eastAsia"/>
          <w:bCs/>
          <w:kern w:val="0"/>
          <w:sz w:val="32"/>
          <w:szCs w:val="32"/>
        </w:rPr>
        <w:t>人每日允许暴露量（</w:t>
      </w:r>
      <w:r w:rsidRPr="00457BA9">
        <w:rPr>
          <w:rFonts w:eastAsia="楷体_GB2312"/>
          <w:bCs/>
          <w:kern w:val="0"/>
          <w:sz w:val="32"/>
          <w:szCs w:val="32"/>
        </w:rPr>
        <w:t>permitted daily exposure, PDE</w:t>
      </w:r>
      <w:r w:rsidRPr="00457BA9">
        <w:rPr>
          <w:rFonts w:eastAsia="楷体_GB2312" w:hint="eastAsia"/>
          <w:bCs/>
          <w:kern w:val="0"/>
          <w:sz w:val="32"/>
          <w:szCs w:val="32"/>
        </w:rPr>
        <w:t>）：</w:t>
      </w:r>
      <w:r w:rsidRPr="00457BA9">
        <w:rPr>
          <w:rFonts w:eastAsia="仿宋_GB2312" w:hint="eastAsia"/>
          <w:kern w:val="0"/>
          <w:sz w:val="32"/>
          <w:szCs w:val="32"/>
        </w:rPr>
        <w:t>指某一物质被允许摄入而不产生毒性的日平均最大剂量，某一具体物质的</w:t>
      </w:r>
      <w:r w:rsidRPr="00457BA9">
        <w:rPr>
          <w:rFonts w:eastAsia="仿宋_GB2312"/>
          <w:kern w:val="0"/>
          <w:sz w:val="32"/>
          <w:szCs w:val="32"/>
        </w:rPr>
        <w:t>PDE</w:t>
      </w:r>
      <w:r w:rsidRPr="00457BA9">
        <w:rPr>
          <w:rFonts w:eastAsia="仿宋_GB2312" w:hint="eastAsia"/>
          <w:kern w:val="0"/>
          <w:sz w:val="32"/>
          <w:szCs w:val="32"/>
        </w:rPr>
        <w:t>值是由不产生反应量、体重调整系数、种属之间差异的系数、个体差异、短期接触急性毒性研究的可变系数等推算出的。</w:t>
      </w:r>
    </w:p>
    <w:p w:rsidR="00F55F1C" w:rsidRPr="00457BA9" w:rsidRDefault="00F55F1C" w:rsidP="00F55F1C">
      <w:pPr>
        <w:autoSpaceDE w:val="0"/>
        <w:autoSpaceDN w:val="0"/>
        <w:adjustRightInd w:val="0"/>
        <w:snapToGrid w:val="0"/>
        <w:spacing w:line="640" w:lineRule="exact"/>
        <w:ind w:firstLineChars="200" w:firstLine="640"/>
        <w:rPr>
          <w:rFonts w:eastAsia="仿宋_GB2312"/>
          <w:kern w:val="0"/>
          <w:sz w:val="32"/>
          <w:szCs w:val="32"/>
        </w:rPr>
      </w:pPr>
      <w:r w:rsidRPr="00457BA9">
        <w:rPr>
          <w:rFonts w:eastAsia="楷体_GB2312" w:hint="eastAsia"/>
          <w:bCs/>
          <w:kern w:val="0"/>
          <w:sz w:val="32"/>
          <w:szCs w:val="32"/>
        </w:rPr>
        <w:t>分析评价阈值（</w:t>
      </w:r>
      <w:r w:rsidRPr="00457BA9">
        <w:rPr>
          <w:rFonts w:eastAsia="楷体_GB2312" w:hint="eastAsia"/>
          <w:bCs/>
          <w:kern w:val="0"/>
          <w:sz w:val="32"/>
          <w:szCs w:val="32"/>
        </w:rPr>
        <w:t>Analytical Evaluation Threshold AET</w:t>
      </w:r>
      <w:r w:rsidRPr="00457BA9">
        <w:rPr>
          <w:rFonts w:eastAsia="楷体_GB2312" w:hint="eastAsia"/>
          <w:bCs/>
          <w:kern w:val="0"/>
          <w:sz w:val="32"/>
          <w:szCs w:val="32"/>
        </w:rPr>
        <w:t>）：</w:t>
      </w:r>
      <w:r w:rsidRPr="00457BA9">
        <w:rPr>
          <w:rFonts w:eastAsia="仿宋_GB2312" w:hint="eastAsia"/>
          <w:kern w:val="0"/>
          <w:sz w:val="32"/>
          <w:szCs w:val="32"/>
        </w:rPr>
        <w:t>根据人每日允许最大暴露量或安全性阈值</w:t>
      </w:r>
      <w:r w:rsidRPr="00457BA9">
        <w:rPr>
          <w:rFonts w:eastAsia="仿宋_GB2312" w:hint="eastAsia"/>
          <w:kern w:val="0"/>
          <w:sz w:val="32"/>
          <w:szCs w:val="32"/>
        </w:rPr>
        <w:t>/</w:t>
      </w:r>
      <w:r w:rsidRPr="00457BA9">
        <w:rPr>
          <w:rFonts w:eastAsia="仿宋_GB2312" w:hint="eastAsia"/>
          <w:kern w:val="0"/>
          <w:sz w:val="32"/>
          <w:szCs w:val="32"/>
        </w:rPr>
        <w:t>限定阈值、用药剂量以及制剂包装特点等计算每单个包装容器中特定的可提取物和</w:t>
      </w:r>
      <w:r w:rsidRPr="00457BA9">
        <w:rPr>
          <w:rFonts w:eastAsia="仿宋_GB2312"/>
          <w:kern w:val="0"/>
          <w:sz w:val="32"/>
          <w:szCs w:val="32"/>
        </w:rPr>
        <w:t>/</w:t>
      </w:r>
      <w:r w:rsidRPr="00457BA9">
        <w:rPr>
          <w:rFonts w:eastAsia="仿宋_GB2312" w:hint="eastAsia"/>
          <w:kern w:val="0"/>
          <w:sz w:val="32"/>
          <w:szCs w:val="32"/>
        </w:rPr>
        <w:t>或浸出物含量，当一个特定的可提取物和</w:t>
      </w:r>
      <w:r w:rsidRPr="00457BA9">
        <w:rPr>
          <w:rFonts w:eastAsia="仿宋_GB2312"/>
          <w:kern w:val="0"/>
          <w:sz w:val="32"/>
          <w:szCs w:val="32"/>
        </w:rPr>
        <w:t>/</w:t>
      </w:r>
      <w:r w:rsidRPr="00457BA9">
        <w:rPr>
          <w:rFonts w:eastAsia="仿宋_GB2312" w:hint="eastAsia"/>
          <w:kern w:val="0"/>
          <w:sz w:val="32"/>
          <w:szCs w:val="32"/>
        </w:rPr>
        <w:t>或浸出物水平达到或超过这个量值时，需要开始对这个可提取物</w:t>
      </w:r>
      <w:r w:rsidRPr="00457BA9">
        <w:rPr>
          <w:rFonts w:eastAsia="仿宋_GB2312"/>
          <w:kern w:val="0"/>
          <w:sz w:val="32"/>
          <w:szCs w:val="32"/>
        </w:rPr>
        <w:t>/</w:t>
      </w:r>
      <w:r w:rsidRPr="00457BA9">
        <w:rPr>
          <w:rFonts w:eastAsia="仿宋_GB2312" w:hint="eastAsia"/>
          <w:kern w:val="0"/>
          <w:sz w:val="32"/>
          <w:szCs w:val="32"/>
        </w:rPr>
        <w:t>浸出物进行分析，并需要报告给相关部门以便开始进行安全性评估。</w:t>
      </w:r>
    </w:p>
    <w:p w:rsidR="00F55F1C" w:rsidRPr="007D69D1" w:rsidRDefault="00F55F1C" w:rsidP="00F55F1C">
      <w:pPr>
        <w:autoSpaceDE w:val="0"/>
        <w:autoSpaceDN w:val="0"/>
        <w:adjustRightInd w:val="0"/>
        <w:snapToGrid w:val="0"/>
        <w:spacing w:line="360" w:lineRule="auto"/>
        <w:ind w:firstLineChars="200" w:firstLine="640"/>
        <w:outlineLvl w:val="0"/>
        <w:rPr>
          <w:rFonts w:ascii="黑体" w:eastAsia="黑体" w:hAnsi="黑体" w:cs="华文仿宋"/>
          <w:kern w:val="0"/>
          <w:sz w:val="32"/>
          <w:szCs w:val="32"/>
        </w:rPr>
      </w:pPr>
      <w:r w:rsidRPr="007D69D1">
        <w:rPr>
          <w:rFonts w:ascii="黑体" w:eastAsia="黑体" w:hAnsi="黑体" w:cs="华文仿宋" w:hint="eastAsia"/>
          <w:kern w:val="0"/>
          <w:sz w:val="32"/>
          <w:szCs w:val="32"/>
        </w:rPr>
        <w:lastRenderedPageBreak/>
        <w:t>六、附件</w:t>
      </w:r>
    </w:p>
    <w:p w:rsidR="00F55F1C" w:rsidRPr="00457BA9" w:rsidRDefault="00F55F1C" w:rsidP="00F55F1C">
      <w:pPr>
        <w:adjustRightInd w:val="0"/>
        <w:snapToGrid w:val="0"/>
        <w:spacing w:line="360" w:lineRule="auto"/>
        <w:jc w:val="center"/>
        <w:rPr>
          <w:rFonts w:eastAsia="楷体_GB2312"/>
          <w:bCs/>
          <w:kern w:val="0"/>
          <w:sz w:val="32"/>
          <w:szCs w:val="32"/>
        </w:rPr>
      </w:pPr>
      <w:r w:rsidRPr="00457BA9">
        <w:rPr>
          <w:rFonts w:eastAsia="楷体_GB2312" w:hint="eastAsia"/>
          <w:bCs/>
          <w:kern w:val="0"/>
          <w:sz w:val="32"/>
          <w:szCs w:val="32"/>
        </w:rPr>
        <w:t>附件</w:t>
      </w:r>
      <w:r w:rsidRPr="00457BA9">
        <w:rPr>
          <w:rFonts w:eastAsia="楷体_GB2312" w:hint="eastAsia"/>
          <w:bCs/>
          <w:kern w:val="0"/>
          <w:sz w:val="32"/>
          <w:szCs w:val="32"/>
        </w:rPr>
        <w:t>1</w:t>
      </w:r>
      <w:r w:rsidRPr="00457BA9">
        <w:rPr>
          <w:rFonts w:eastAsia="楷体_GB2312" w:hint="eastAsia"/>
          <w:bCs/>
          <w:kern w:val="0"/>
          <w:sz w:val="32"/>
          <w:szCs w:val="32"/>
        </w:rPr>
        <w:t>：中国国家标准对玻璃的分类情况</w:t>
      </w:r>
    </w:p>
    <w:tbl>
      <w:tblPr>
        <w:tblW w:w="9530" w:type="dxa"/>
        <w:jc w:val="center"/>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188"/>
        <w:gridCol w:w="2215"/>
        <w:gridCol w:w="1591"/>
        <w:gridCol w:w="1527"/>
        <w:gridCol w:w="1560"/>
        <w:gridCol w:w="1449"/>
      </w:tblGrid>
      <w:tr w:rsidR="00F55F1C" w:rsidRPr="007D69D1" w:rsidTr="00A0600A">
        <w:trPr>
          <w:cantSplit/>
          <w:jc w:val="center"/>
        </w:trPr>
        <w:tc>
          <w:tcPr>
            <w:tcW w:w="3403" w:type="dxa"/>
            <w:gridSpan w:val="2"/>
            <w:vMerge w:val="restart"/>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化学组成及性能</w:t>
            </w:r>
          </w:p>
        </w:tc>
        <w:tc>
          <w:tcPr>
            <w:tcW w:w="6127" w:type="dxa"/>
            <w:gridSpan w:val="4"/>
            <w:vAlign w:val="center"/>
          </w:tcPr>
          <w:p w:rsidR="00F55F1C" w:rsidRPr="00457BA9" w:rsidRDefault="00F55F1C" w:rsidP="00A0600A">
            <w:pPr>
              <w:spacing w:line="360" w:lineRule="auto"/>
              <w:jc w:val="center"/>
              <w:rPr>
                <w:rFonts w:eastAsia="仿宋"/>
                <w:color w:val="000000"/>
                <w:sz w:val="24"/>
              </w:rPr>
            </w:pPr>
            <w:proofErr w:type="gramStart"/>
            <w:r w:rsidRPr="00457BA9">
              <w:rPr>
                <w:rFonts w:eastAsia="仿宋"/>
                <w:color w:val="000000"/>
                <w:sz w:val="24"/>
              </w:rPr>
              <w:t>玻</w:t>
            </w:r>
            <w:proofErr w:type="gramEnd"/>
            <w:r w:rsidRPr="00457BA9">
              <w:rPr>
                <w:rFonts w:eastAsia="仿宋"/>
                <w:color w:val="000000"/>
                <w:sz w:val="24"/>
              </w:rPr>
              <w:t xml:space="preserve">   </w:t>
            </w:r>
            <w:proofErr w:type="gramStart"/>
            <w:r w:rsidRPr="00457BA9">
              <w:rPr>
                <w:rFonts w:eastAsia="仿宋"/>
                <w:color w:val="000000"/>
                <w:sz w:val="24"/>
              </w:rPr>
              <w:t>璃</w:t>
            </w:r>
            <w:proofErr w:type="gramEnd"/>
            <w:r w:rsidRPr="00457BA9">
              <w:rPr>
                <w:rFonts w:eastAsia="仿宋"/>
                <w:color w:val="000000"/>
                <w:sz w:val="24"/>
              </w:rPr>
              <w:t xml:space="preserve">   </w:t>
            </w:r>
            <w:r w:rsidRPr="00457BA9">
              <w:rPr>
                <w:rFonts w:eastAsia="仿宋"/>
                <w:color w:val="000000"/>
                <w:sz w:val="24"/>
              </w:rPr>
              <w:t>类</w:t>
            </w:r>
            <w:r w:rsidRPr="00457BA9">
              <w:rPr>
                <w:rFonts w:eastAsia="仿宋"/>
                <w:color w:val="000000"/>
                <w:sz w:val="24"/>
              </w:rPr>
              <w:t xml:space="preserve">   </w:t>
            </w:r>
            <w:r w:rsidRPr="00457BA9">
              <w:rPr>
                <w:rFonts w:eastAsia="仿宋"/>
                <w:color w:val="000000"/>
                <w:sz w:val="24"/>
              </w:rPr>
              <w:t>型</w:t>
            </w:r>
          </w:p>
        </w:tc>
      </w:tr>
      <w:tr w:rsidR="00F55F1C" w:rsidRPr="007D69D1" w:rsidTr="00A0600A">
        <w:trPr>
          <w:cantSplit/>
          <w:trHeight w:val="642"/>
          <w:jc w:val="center"/>
        </w:trPr>
        <w:tc>
          <w:tcPr>
            <w:tcW w:w="3403" w:type="dxa"/>
            <w:gridSpan w:val="2"/>
            <w:vMerge/>
            <w:vAlign w:val="center"/>
          </w:tcPr>
          <w:p w:rsidR="00F55F1C" w:rsidRPr="00457BA9" w:rsidRDefault="00F55F1C" w:rsidP="00A0600A">
            <w:pPr>
              <w:spacing w:line="360" w:lineRule="auto"/>
              <w:jc w:val="center"/>
              <w:rPr>
                <w:rFonts w:eastAsia="仿宋"/>
                <w:color w:val="000000"/>
                <w:sz w:val="24"/>
              </w:rPr>
            </w:pPr>
          </w:p>
        </w:tc>
        <w:tc>
          <w:tcPr>
            <w:tcW w:w="1591" w:type="dxa"/>
            <w:tcBorders>
              <w:right w:val="single" w:sz="4" w:space="0" w:color="auto"/>
            </w:tcBorders>
            <w:vAlign w:val="center"/>
          </w:tcPr>
          <w:p w:rsidR="00F55F1C" w:rsidRPr="00457BA9" w:rsidRDefault="00F55F1C" w:rsidP="00A0600A">
            <w:pPr>
              <w:spacing w:line="360" w:lineRule="auto"/>
              <w:jc w:val="center"/>
              <w:rPr>
                <w:rFonts w:eastAsia="仿宋"/>
                <w:color w:val="000000"/>
                <w:sz w:val="24"/>
              </w:rPr>
            </w:pPr>
            <w:proofErr w:type="gramStart"/>
            <w:r w:rsidRPr="00457BA9">
              <w:rPr>
                <w:rFonts w:eastAsia="仿宋"/>
                <w:color w:val="000000"/>
                <w:sz w:val="24"/>
              </w:rPr>
              <w:t>高硼硅玻璃</w:t>
            </w:r>
            <w:proofErr w:type="gramEnd"/>
          </w:p>
        </w:tc>
        <w:tc>
          <w:tcPr>
            <w:tcW w:w="1527" w:type="dxa"/>
            <w:tcBorders>
              <w:left w:val="single" w:sz="4" w:space="0" w:color="auto"/>
            </w:tcBorders>
            <w:vAlign w:val="center"/>
          </w:tcPr>
          <w:p w:rsidR="00F55F1C" w:rsidRPr="00457BA9" w:rsidRDefault="00F55F1C" w:rsidP="00A0600A">
            <w:pPr>
              <w:spacing w:line="360" w:lineRule="auto"/>
              <w:jc w:val="center"/>
              <w:rPr>
                <w:rFonts w:eastAsia="仿宋"/>
                <w:color w:val="000000"/>
                <w:sz w:val="24"/>
              </w:rPr>
            </w:pPr>
            <w:proofErr w:type="gramStart"/>
            <w:r w:rsidRPr="00457BA9">
              <w:rPr>
                <w:rFonts w:eastAsia="仿宋"/>
                <w:color w:val="000000"/>
                <w:sz w:val="24"/>
              </w:rPr>
              <w:t>中硼硅玻璃</w:t>
            </w:r>
            <w:proofErr w:type="gramEnd"/>
          </w:p>
        </w:tc>
        <w:tc>
          <w:tcPr>
            <w:tcW w:w="1560" w:type="dxa"/>
            <w:vAlign w:val="center"/>
          </w:tcPr>
          <w:p w:rsidR="00F55F1C" w:rsidRPr="00457BA9" w:rsidRDefault="00F55F1C" w:rsidP="00A0600A">
            <w:pPr>
              <w:spacing w:line="360" w:lineRule="auto"/>
              <w:jc w:val="center"/>
              <w:rPr>
                <w:rFonts w:eastAsia="仿宋"/>
                <w:color w:val="000000"/>
                <w:sz w:val="24"/>
              </w:rPr>
            </w:pPr>
            <w:proofErr w:type="gramStart"/>
            <w:r w:rsidRPr="00457BA9">
              <w:rPr>
                <w:rFonts w:eastAsia="仿宋"/>
                <w:color w:val="000000"/>
                <w:sz w:val="24"/>
              </w:rPr>
              <w:t>低硼硅玻璃</w:t>
            </w:r>
            <w:proofErr w:type="gramEnd"/>
          </w:p>
        </w:tc>
        <w:tc>
          <w:tcPr>
            <w:tcW w:w="1449"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钠钙玻璃</w:t>
            </w:r>
          </w:p>
        </w:tc>
      </w:tr>
      <w:tr w:rsidR="00F55F1C" w:rsidRPr="007D69D1" w:rsidTr="00A0600A">
        <w:trPr>
          <w:jc w:val="center"/>
        </w:trPr>
        <w:tc>
          <w:tcPr>
            <w:tcW w:w="3403" w:type="dxa"/>
            <w:gridSpan w:val="2"/>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B</w:t>
            </w:r>
            <w:r w:rsidRPr="00457BA9">
              <w:rPr>
                <w:rFonts w:eastAsia="仿宋"/>
                <w:color w:val="000000"/>
                <w:sz w:val="24"/>
                <w:vertAlign w:val="subscript"/>
              </w:rPr>
              <w:t>2</w:t>
            </w:r>
            <w:r w:rsidRPr="00457BA9">
              <w:rPr>
                <w:rFonts w:eastAsia="仿宋"/>
                <w:color w:val="000000"/>
                <w:sz w:val="24"/>
              </w:rPr>
              <w:t>O</w:t>
            </w:r>
            <w:r w:rsidRPr="00457BA9">
              <w:rPr>
                <w:rFonts w:eastAsia="仿宋"/>
                <w:color w:val="000000"/>
                <w:sz w:val="24"/>
                <w:vertAlign w:val="subscript"/>
              </w:rPr>
              <w:t>3</w:t>
            </w:r>
            <w:r w:rsidRPr="00457BA9">
              <w:rPr>
                <w:rFonts w:eastAsia="仿宋"/>
                <w:color w:val="000000"/>
                <w:sz w:val="24"/>
              </w:rPr>
              <w:t>（</w:t>
            </w:r>
            <w:r w:rsidRPr="00457BA9">
              <w:rPr>
                <w:rFonts w:eastAsia="仿宋"/>
                <w:color w:val="000000"/>
                <w:sz w:val="24"/>
              </w:rPr>
              <w:t>%</w:t>
            </w:r>
            <w:r w:rsidRPr="00457BA9">
              <w:rPr>
                <w:rFonts w:eastAsia="仿宋"/>
                <w:color w:val="000000"/>
                <w:sz w:val="24"/>
              </w:rPr>
              <w:t>）</w:t>
            </w:r>
          </w:p>
        </w:tc>
        <w:tc>
          <w:tcPr>
            <w:tcW w:w="1591"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≥12</w:t>
            </w:r>
          </w:p>
        </w:tc>
        <w:tc>
          <w:tcPr>
            <w:tcW w:w="1527"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≥8</w:t>
            </w:r>
          </w:p>
        </w:tc>
        <w:tc>
          <w:tcPr>
            <w:tcW w:w="1560"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≥5</w:t>
            </w:r>
          </w:p>
        </w:tc>
        <w:tc>
          <w:tcPr>
            <w:tcW w:w="1449"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&lt;5</w:t>
            </w:r>
          </w:p>
        </w:tc>
      </w:tr>
      <w:tr w:rsidR="00F55F1C" w:rsidRPr="007D69D1" w:rsidTr="00A0600A">
        <w:trPr>
          <w:jc w:val="center"/>
        </w:trPr>
        <w:tc>
          <w:tcPr>
            <w:tcW w:w="3403" w:type="dxa"/>
            <w:gridSpan w:val="2"/>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SiO</w:t>
            </w:r>
            <w:r w:rsidRPr="00457BA9">
              <w:rPr>
                <w:rFonts w:eastAsia="仿宋"/>
                <w:color w:val="000000"/>
                <w:sz w:val="24"/>
                <w:vertAlign w:val="subscript"/>
              </w:rPr>
              <w:t>2</w:t>
            </w:r>
            <w:r w:rsidRPr="00457BA9">
              <w:rPr>
                <w:rFonts w:eastAsia="仿宋"/>
                <w:color w:val="000000"/>
                <w:sz w:val="24"/>
              </w:rPr>
              <w:t>*</w:t>
            </w:r>
            <w:r w:rsidRPr="00457BA9">
              <w:rPr>
                <w:rFonts w:eastAsia="仿宋"/>
                <w:color w:val="000000"/>
                <w:sz w:val="24"/>
              </w:rPr>
              <w:t>（</w:t>
            </w:r>
            <w:r w:rsidRPr="00457BA9">
              <w:rPr>
                <w:rFonts w:eastAsia="仿宋"/>
                <w:color w:val="000000"/>
                <w:sz w:val="24"/>
              </w:rPr>
              <w:t>%</w:t>
            </w:r>
            <w:r w:rsidRPr="00457BA9">
              <w:rPr>
                <w:rFonts w:eastAsia="仿宋"/>
                <w:color w:val="000000"/>
                <w:sz w:val="24"/>
              </w:rPr>
              <w:t>）</w:t>
            </w:r>
          </w:p>
        </w:tc>
        <w:tc>
          <w:tcPr>
            <w:tcW w:w="1591"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约</w:t>
            </w:r>
            <w:r w:rsidRPr="00457BA9">
              <w:rPr>
                <w:rFonts w:eastAsia="仿宋"/>
                <w:color w:val="000000"/>
                <w:sz w:val="24"/>
              </w:rPr>
              <w:t>81</w:t>
            </w:r>
          </w:p>
        </w:tc>
        <w:tc>
          <w:tcPr>
            <w:tcW w:w="1527"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约</w:t>
            </w:r>
            <w:r w:rsidRPr="00457BA9">
              <w:rPr>
                <w:rFonts w:eastAsia="仿宋"/>
                <w:color w:val="000000"/>
                <w:sz w:val="24"/>
              </w:rPr>
              <w:t>75</w:t>
            </w:r>
          </w:p>
        </w:tc>
        <w:tc>
          <w:tcPr>
            <w:tcW w:w="1560"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约</w:t>
            </w:r>
            <w:r w:rsidRPr="00457BA9">
              <w:rPr>
                <w:rFonts w:eastAsia="仿宋"/>
                <w:color w:val="000000"/>
                <w:sz w:val="24"/>
              </w:rPr>
              <w:t>71</w:t>
            </w:r>
          </w:p>
        </w:tc>
        <w:tc>
          <w:tcPr>
            <w:tcW w:w="1449"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约</w:t>
            </w:r>
            <w:r w:rsidRPr="00457BA9">
              <w:rPr>
                <w:rFonts w:eastAsia="仿宋"/>
                <w:color w:val="000000"/>
                <w:sz w:val="24"/>
              </w:rPr>
              <w:t>70</w:t>
            </w:r>
          </w:p>
        </w:tc>
      </w:tr>
      <w:tr w:rsidR="00F55F1C" w:rsidRPr="007D69D1" w:rsidTr="00A0600A">
        <w:trPr>
          <w:jc w:val="center"/>
        </w:trPr>
        <w:tc>
          <w:tcPr>
            <w:tcW w:w="3403" w:type="dxa"/>
            <w:gridSpan w:val="2"/>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Na</w:t>
            </w:r>
            <w:r w:rsidRPr="00457BA9">
              <w:rPr>
                <w:rFonts w:eastAsia="仿宋"/>
                <w:color w:val="000000"/>
                <w:sz w:val="24"/>
                <w:vertAlign w:val="subscript"/>
              </w:rPr>
              <w:t>2</w:t>
            </w:r>
            <w:r w:rsidRPr="00457BA9">
              <w:rPr>
                <w:rFonts w:eastAsia="仿宋"/>
                <w:color w:val="000000"/>
                <w:sz w:val="24"/>
              </w:rPr>
              <w:t>O+K</w:t>
            </w:r>
            <w:r w:rsidRPr="00457BA9">
              <w:rPr>
                <w:rFonts w:eastAsia="仿宋"/>
                <w:color w:val="000000"/>
                <w:sz w:val="24"/>
                <w:vertAlign w:val="subscript"/>
              </w:rPr>
              <w:t>2</w:t>
            </w:r>
            <w:r w:rsidRPr="00457BA9">
              <w:rPr>
                <w:rFonts w:eastAsia="仿宋"/>
                <w:color w:val="000000"/>
                <w:sz w:val="24"/>
              </w:rPr>
              <w:t>O*</w:t>
            </w:r>
            <w:r w:rsidRPr="00457BA9">
              <w:rPr>
                <w:rFonts w:eastAsia="仿宋"/>
                <w:color w:val="000000"/>
                <w:sz w:val="24"/>
              </w:rPr>
              <w:t>（</w:t>
            </w:r>
            <w:r w:rsidRPr="00457BA9">
              <w:rPr>
                <w:rFonts w:eastAsia="仿宋"/>
                <w:color w:val="000000"/>
                <w:sz w:val="24"/>
              </w:rPr>
              <w:t>%</w:t>
            </w:r>
            <w:r w:rsidRPr="00457BA9">
              <w:rPr>
                <w:rFonts w:eastAsia="仿宋"/>
                <w:color w:val="000000"/>
                <w:sz w:val="24"/>
              </w:rPr>
              <w:t>）</w:t>
            </w:r>
          </w:p>
        </w:tc>
        <w:tc>
          <w:tcPr>
            <w:tcW w:w="1591"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约</w:t>
            </w:r>
            <w:r w:rsidRPr="00457BA9">
              <w:rPr>
                <w:rFonts w:eastAsia="仿宋"/>
                <w:color w:val="000000"/>
                <w:sz w:val="24"/>
              </w:rPr>
              <w:t>4</w:t>
            </w:r>
          </w:p>
        </w:tc>
        <w:tc>
          <w:tcPr>
            <w:tcW w:w="1527" w:type="dxa"/>
            <w:vAlign w:val="center"/>
          </w:tcPr>
          <w:p w:rsidR="00F55F1C" w:rsidRPr="00457BA9" w:rsidRDefault="00F55F1C" w:rsidP="00A0600A">
            <w:pPr>
              <w:spacing w:line="360" w:lineRule="auto"/>
              <w:jc w:val="center"/>
              <w:rPr>
                <w:rFonts w:eastAsia="仿宋"/>
                <w:sz w:val="24"/>
              </w:rPr>
            </w:pPr>
            <w:r w:rsidRPr="00457BA9">
              <w:rPr>
                <w:rFonts w:eastAsia="仿宋"/>
                <w:sz w:val="24"/>
              </w:rPr>
              <w:t>4-8</w:t>
            </w:r>
          </w:p>
        </w:tc>
        <w:tc>
          <w:tcPr>
            <w:tcW w:w="1560" w:type="dxa"/>
            <w:vAlign w:val="center"/>
          </w:tcPr>
          <w:p w:rsidR="00F55F1C" w:rsidRPr="00457BA9" w:rsidRDefault="00F55F1C" w:rsidP="00A0600A">
            <w:pPr>
              <w:spacing w:line="360" w:lineRule="auto"/>
              <w:jc w:val="center"/>
              <w:rPr>
                <w:rFonts w:eastAsia="仿宋"/>
                <w:sz w:val="24"/>
              </w:rPr>
            </w:pPr>
            <w:r w:rsidRPr="00457BA9">
              <w:rPr>
                <w:rFonts w:eastAsia="仿宋"/>
                <w:sz w:val="24"/>
              </w:rPr>
              <w:t>约</w:t>
            </w:r>
            <w:r w:rsidRPr="00457BA9">
              <w:rPr>
                <w:rFonts w:eastAsia="仿宋"/>
                <w:sz w:val="24"/>
              </w:rPr>
              <w:t>11.5</w:t>
            </w:r>
          </w:p>
        </w:tc>
        <w:tc>
          <w:tcPr>
            <w:tcW w:w="1449" w:type="dxa"/>
            <w:vAlign w:val="center"/>
          </w:tcPr>
          <w:p w:rsidR="00F55F1C" w:rsidRPr="00457BA9" w:rsidRDefault="00F55F1C" w:rsidP="00A0600A">
            <w:pPr>
              <w:spacing w:line="360" w:lineRule="auto"/>
              <w:jc w:val="center"/>
              <w:rPr>
                <w:rFonts w:eastAsia="仿宋"/>
                <w:sz w:val="24"/>
              </w:rPr>
            </w:pPr>
            <w:r w:rsidRPr="00457BA9">
              <w:rPr>
                <w:rFonts w:eastAsia="仿宋"/>
                <w:sz w:val="24"/>
              </w:rPr>
              <w:t>12-16</w:t>
            </w:r>
          </w:p>
        </w:tc>
      </w:tr>
      <w:tr w:rsidR="00F55F1C" w:rsidRPr="007D69D1" w:rsidTr="00A0600A">
        <w:trPr>
          <w:jc w:val="center"/>
        </w:trPr>
        <w:tc>
          <w:tcPr>
            <w:tcW w:w="3403" w:type="dxa"/>
            <w:gridSpan w:val="2"/>
            <w:vAlign w:val="center"/>
          </w:tcPr>
          <w:p w:rsidR="00F55F1C" w:rsidRPr="00457BA9" w:rsidRDefault="00F55F1C" w:rsidP="00A0600A">
            <w:pPr>
              <w:spacing w:line="360" w:lineRule="auto"/>
              <w:jc w:val="center"/>
              <w:rPr>
                <w:rFonts w:eastAsia="仿宋"/>
                <w:color w:val="000000"/>
                <w:sz w:val="24"/>
              </w:rPr>
            </w:pPr>
            <w:proofErr w:type="spellStart"/>
            <w:r w:rsidRPr="00457BA9">
              <w:rPr>
                <w:rFonts w:eastAsia="仿宋"/>
                <w:color w:val="000000"/>
                <w:sz w:val="24"/>
              </w:rPr>
              <w:t>MgO+CaO+BaO</w:t>
            </w:r>
            <w:proofErr w:type="spellEnd"/>
            <w:r w:rsidRPr="00457BA9">
              <w:rPr>
                <w:rFonts w:eastAsia="仿宋"/>
                <w:color w:val="000000"/>
                <w:sz w:val="24"/>
              </w:rPr>
              <w:t>+</w:t>
            </w:r>
            <w:r w:rsidRPr="00457BA9">
              <w:rPr>
                <w:rFonts w:eastAsia="仿宋"/>
                <w:color w:val="000000"/>
                <w:sz w:val="24"/>
              </w:rPr>
              <w:t>（</w:t>
            </w:r>
            <w:proofErr w:type="spellStart"/>
            <w:r w:rsidRPr="00457BA9">
              <w:rPr>
                <w:rFonts w:eastAsia="仿宋"/>
                <w:color w:val="000000"/>
                <w:sz w:val="24"/>
              </w:rPr>
              <w:t>SrO</w:t>
            </w:r>
            <w:proofErr w:type="spellEnd"/>
            <w:r w:rsidRPr="00457BA9">
              <w:rPr>
                <w:rFonts w:eastAsia="仿宋"/>
                <w:color w:val="000000"/>
                <w:sz w:val="24"/>
              </w:rPr>
              <w:t>）</w:t>
            </w:r>
            <w:r w:rsidRPr="00457BA9">
              <w:rPr>
                <w:rFonts w:eastAsia="仿宋"/>
                <w:color w:val="000000"/>
                <w:sz w:val="24"/>
              </w:rPr>
              <w:t>*</w:t>
            </w:r>
            <w:r w:rsidRPr="00457BA9">
              <w:rPr>
                <w:rFonts w:eastAsia="仿宋"/>
                <w:color w:val="000000"/>
                <w:sz w:val="24"/>
              </w:rPr>
              <w:t>（</w:t>
            </w:r>
            <w:r w:rsidRPr="00457BA9">
              <w:rPr>
                <w:rFonts w:eastAsia="仿宋"/>
                <w:color w:val="000000"/>
                <w:sz w:val="24"/>
              </w:rPr>
              <w:t>%</w:t>
            </w:r>
            <w:r w:rsidRPr="00457BA9">
              <w:rPr>
                <w:rFonts w:eastAsia="仿宋"/>
                <w:color w:val="000000"/>
                <w:sz w:val="24"/>
              </w:rPr>
              <w:t>）</w:t>
            </w:r>
          </w:p>
        </w:tc>
        <w:tc>
          <w:tcPr>
            <w:tcW w:w="1591" w:type="dxa"/>
            <w:vAlign w:val="center"/>
          </w:tcPr>
          <w:p w:rsidR="00F55F1C" w:rsidRPr="00457BA9" w:rsidRDefault="00F55F1C" w:rsidP="00A0600A">
            <w:pPr>
              <w:spacing w:line="360" w:lineRule="auto"/>
              <w:jc w:val="center"/>
              <w:rPr>
                <w:rFonts w:eastAsia="仿宋"/>
                <w:color w:val="000000"/>
                <w:spacing w:val="-20"/>
                <w:sz w:val="24"/>
              </w:rPr>
            </w:pPr>
            <w:r w:rsidRPr="00457BA9">
              <w:rPr>
                <w:rFonts w:eastAsia="仿宋"/>
                <w:color w:val="000000"/>
                <w:spacing w:val="-20"/>
                <w:sz w:val="24"/>
              </w:rPr>
              <w:t>/</w:t>
            </w:r>
          </w:p>
        </w:tc>
        <w:tc>
          <w:tcPr>
            <w:tcW w:w="1527"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约</w:t>
            </w:r>
            <w:r w:rsidRPr="00457BA9">
              <w:rPr>
                <w:rFonts w:eastAsia="仿宋"/>
                <w:color w:val="000000"/>
                <w:sz w:val="24"/>
              </w:rPr>
              <w:t>5</w:t>
            </w:r>
          </w:p>
        </w:tc>
        <w:tc>
          <w:tcPr>
            <w:tcW w:w="1560"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约</w:t>
            </w:r>
            <w:r w:rsidRPr="00457BA9">
              <w:rPr>
                <w:rFonts w:eastAsia="仿宋"/>
                <w:color w:val="000000"/>
                <w:sz w:val="24"/>
              </w:rPr>
              <w:t>5.5</w:t>
            </w:r>
          </w:p>
        </w:tc>
        <w:tc>
          <w:tcPr>
            <w:tcW w:w="1449"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约</w:t>
            </w:r>
            <w:r w:rsidRPr="00457BA9">
              <w:rPr>
                <w:rFonts w:eastAsia="仿宋"/>
                <w:color w:val="000000"/>
                <w:sz w:val="24"/>
              </w:rPr>
              <w:t>12</w:t>
            </w:r>
          </w:p>
        </w:tc>
      </w:tr>
      <w:tr w:rsidR="00F55F1C" w:rsidRPr="007D69D1" w:rsidTr="00A0600A">
        <w:trPr>
          <w:jc w:val="center"/>
        </w:trPr>
        <w:tc>
          <w:tcPr>
            <w:tcW w:w="3403" w:type="dxa"/>
            <w:gridSpan w:val="2"/>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Al</w:t>
            </w:r>
            <w:r w:rsidRPr="00457BA9">
              <w:rPr>
                <w:rFonts w:eastAsia="仿宋"/>
                <w:color w:val="000000"/>
                <w:sz w:val="24"/>
                <w:vertAlign w:val="subscript"/>
              </w:rPr>
              <w:t>2</w:t>
            </w:r>
            <w:r w:rsidRPr="00457BA9">
              <w:rPr>
                <w:rFonts w:eastAsia="仿宋"/>
                <w:color w:val="000000"/>
                <w:sz w:val="24"/>
              </w:rPr>
              <w:t>O</w:t>
            </w:r>
            <w:r w:rsidRPr="00457BA9">
              <w:rPr>
                <w:rFonts w:eastAsia="仿宋"/>
                <w:color w:val="000000"/>
                <w:sz w:val="24"/>
                <w:vertAlign w:val="subscript"/>
              </w:rPr>
              <w:t>3</w:t>
            </w:r>
            <w:r w:rsidRPr="00457BA9">
              <w:rPr>
                <w:rFonts w:eastAsia="仿宋"/>
                <w:color w:val="000000"/>
                <w:sz w:val="24"/>
              </w:rPr>
              <w:t>*</w:t>
            </w:r>
            <w:r w:rsidRPr="00457BA9">
              <w:rPr>
                <w:rFonts w:eastAsia="仿宋"/>
                <w:color w:val="000000"/>
                <w:sz w:val="24"/>
              </w:rPr>
              <w:t>（</w:t>
            </w:r>
            <w:r w:rsidRPr="00457BA9">
              <w:rPr>
                <w:rFonts w:eastAsia="仿宋"/>
                <w:color w:val="000000"/>
                <w:sz w:val="24"/>
              </w:rPr>
              <w:t>%</w:t>
            </w:r>
            <w:r w:rsidRPr="00457BA9">
              <w:rPr>
                <w:rFonts w:eastAsia="仿宋"/>
                <w:color w:val="000000"/>
                <w:sz w:val="24"/>
              </w:rPr>
              <w:t>）</w:t>
            </w:r>
          </w:p>
        </w:tc>
        <w:tc>
          <w:tcPr>
            <w:tcW w:w="1591"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2</w:t>
            </w:r>
            <w:r w:rsidRPr="00457BA9">
              <w:rPr>
                <w:rFonts w:eastAsia="仿宋"/>
                <w:color w:val="000000"/>
                <w:sz w:val="24"/>
              </w:rPr>
              <w:t>～</w:t>
            </w:r>
            <w:r w:rsidRPr="00457BA9">
              <w:rPr>
                <w:rFonts w:eastAsia="仿宋"/>
                <w:color w:val="000000"/>
                <w:sz w:val="24"/>
              </w:rPr>
              <w:t>3</w:t>
            </w:r>
          </w:p>
        </w:tc>
        <w:tc>
          <w:tcPr>
            <w:tcW w:w="1527"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2</w:t>
            </w:r>
            <w:r w:rsidRPr="00457BA9">
              <w:rPr>
                <w:rFonts w:eastAsia="仿宋"/>
                <w:color w:val="000000"/>
                <w:sz w:val="24"/>
              </w:rPr>
              <w:t>～</w:t>
            </w:r>
            <w:r w:rsidRPr="00457BA9">
              <w:rPr>
                <w:rFonts w:eastAsia="仿宋"/>
                <w:color w:val="000000"/>
                <w:sz w:val="24"/>
              </w:rPr>
              <w:t>7</w:t>
            </w:r>
          </w:p>
        </w:tc>
        <w:tc>
          <w:tcPr>
            <w:tcW w:w="1560"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3</w:t>
            </w:r>
            <w:r w:rsidRPr="00457BA9">
              <w:rPr>
                <w:rFonts w:eastAsia="仿宋"/>
                <w:color w:val="000000"/>
                <w:sz w:val="24"/>
              </w:rPr>
              <w:t>～</w:t>
            </w:r>
            <w:r w:rsidRPr="00457BA9">
              <w:rPr>
                <w:rFonts w:eastAsia="仿宋"/>
                <w:color w:val="000000"/>
                <w:sz w:val="24"/>
              </w:rPr>
              <w:t>6</w:t>
            </w:r>
          </w:p>
        </w:tc>
        <w:tc>
          <w:tcPr>
            <w:tcW w:w="1449"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0</w:t>
            </w:r>
            <w:r w:rsidRPr="00457BA9">
              <w:rPr>
                <w:rFonts w:eastAsia="仿宋"/>
                <w:color w:val="000000"/>
                <w:sz w:val="24"/>
              </w:rPr>
              <w:t>～</w:t>
            </w:r>
            <w:r w:rsidRPr="00457BA9">
              <w:rPr>
                <w:rFonts w:eastAsia="仿宋"/>
                <w:color w:val="000000"/>
                <w:sz w:val="24"/>
              </w:rPr>
              <w:t>3.5</w:t>
            </w:r>
          </w:p>
        </w:tc>
      </w:tr>
      <w:tr w:rsidR="00F55F1C" w:rsidRPr="007D69D1" w:rsidTr="00A0600A">
        <w:trPr>
          <w:jc w:val="center"/>
        </w:trPr>
        <w:tc>
          <w:tcPr>
            <w:tcW w:w="3403" w:type="dxa"/>
            <w:gridSpan w:val="2"/>
            <w:vAlign w:val="center"/>
          </w:tcPr>
          <w:p w:rsidR="00F55F1C" w:rsidRPr="00457BA9" w:rsidRDefault="00F55F1C" w:rsidP="00A0600A">
            <w:pPr>
              <w:spacing w:line="360" w:lineRule="auto"/>
              <w:jc w:val="center"/>
              <w:rPr>
                <w:rFonts w:eastAsia="仿宋"/>
                <w:color w:val="000000"/>
                <w:sz w:val="24"/>
                <w:vertAlign w:val="superscript"/>
              </w:rPr>
            </w:pPr>
            <w:r w:rsidRPr="00457BA9">
              <w:rPr>
                <w:rFonts w:eastAsia="仿宋"/>
                <w:color w:val="000000"/>
                <w:sz w:val="24"/>
              </w:rPr>
              <w:t>平均线热膨胀系数</w:t>
            </w:r>
            <w:r w:rsidRPr="00457BA9">
              <w:rPr>
                <w:rFonts w:eastAsia="仿宋"/>
                <w:color w:val="000000"/>
                <w:sz w:val="24"/>
                <w:vertAlign w:val="superscript"/>
              </w:rPr>
              <w:t>1</w:t>
            </w:r>
            <w:r w:rsidRPr="00457BA9">
              <w:rPr>
                <w:rFonts w:eastAsia="仿宋"/>
                <w:color w:val="000000"/>
                <w:sz w:val="24"/>
              </w:rPr>
              <w:t>：</w:t>
            </w:r>
            <w:r w:rsidRPr="00457BA9">
              <w:rPr>
                <w:rFonts w:eastAsia="仿宋"/>
                <w:color w:val="000000"/>
                <w:sz w:val="24"/>
              </w:rPr>
              <w:t>×10</w:t>
            </w:r>
            <w:r w:rsidRPr="00457BA9">
              <w:rPr>
                <w:rFonts w:eastAsia="仿宋"/>
                <w:color w:val="000000"/>
                <w:sz w:val="24"/>
                <w:vertAlign w:val="superscript"/>
              </w:rPr>
              <w:t>-6</w:t>
            </w:r>
            <w:r w:rsidRPr="00457BA9">
              <w:rPr>
                <w:rFonts w:eastAsia="仿宋"/>
                <w:color w:val="000000"/>
                <w:sz w:val="24"/>
              </w:rPr>
              <w:t>K</w:t>
            </w:r>
            <w:r w:rsidRPr="00457BA9">
              <w:rPr>
                <w:rFonts w:eastAsia="仿宋"/>
                <w:color w:val="000000"/>
                <w:sz w:val="24"/>
                <w:vertAlign w:val="superscript"/>
              </w:rPr>
              <w:t>-1</w:t>
            </w:r>
          </w:p>
          <w:p w:rsidR="00F55F1C" w:rsidRPr="00457BA9" w:rsidRDefault="00F55F1C" w:rsidP="00A0600A">
            <w:pPr>
              <w:spacing w:line="360" w:lineRule="auto"/>
              <w:jc w:val="center"/>
              <w:rPr>
                <w:rFonts w:eastAsia="仿宋"/>
                <w:color w:val="000000"/>
                <w:sz w:val="24"/>
              </w:rPr>
            </w:pPr>
            <w:r w:rsidRPr="00457BA9">
              <w:rPr>
                <w:rFonts w:eastAsia="仿宋"/>
                <w:color w:val="000000"/>
                <w:sz w:val="24"/>
              </w:rPr>
              <w:t>（</w:t>
            </w:r>
            <w:r w:rsidRPr="00457BA9">
              <w:rPr>
                <w:rFonts w:eastAsia="仿宋"/>
                <w:color w:val="000000"/>
                <w:sz w:val="24"/>
              </w:rPr>
              <w:t>20</w:t>
            </w:r>
            <w:r w:rsidRPr="00457BA9">
              <w:rPr>
                <w:rFonts w:eastAsia="仿宋"/>
                <w:color w:val="000000"/>
                <w:sz w:val="24"/>
              </w:rPr>
              <w:t>～</w:t>
            </w:r>
            <w:r w:rsidRPr="00457BA9">
              <w:rPr>
                <w:rFonts w:eastAsia="仿宋"/>
                <w:color w:val="000000"/>
                <w:sz w:val="24"/>
              </w:rPr>
              <w:t>300</w:t>
            </w:r>
            <w:r w:rsidRPr="00457BA9">
              <w:rPr>
                <w:rFonts w:ascii="宋体" w:hAnsi="宋体" w:cs="宋体" w:hint="eastAsia"/>
                <w:color w:val="000000"/>
                <w:sz w:val="24"/>
              </w:rPr>
              <w:t>℃</w:t>
            </w:r>
            <w:r w:rsidRPr="00457BA9">
              <w:rPr>
                <w:rFonts w:eastAsia="仿宋"/>
                <w:color w:val="000000"/>
                <w:sz w:val="24"/>
              </w:rPr>
              <w:t>）</w:t>
            </w:r>
          </w:p>
        </w:tc>
        <w:tc>
          <w:tcPr>
            <w:tcW w:w="1591"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3.2</w:t>
            </w:r>
            <w:r w:rsidRPr="00457BA9">
              <w:rPr>
                <w:rFonts w:eastAsia="仿宋"/>
                <w:color w:val="000000"/>
                <w:sz w:val="24"/>
              </w:rPr>
              <w:t>～</w:t>
            </w:r>
            <w:r w:rsidRPr="00457BA9">
              <w:rPr>
                <w:rFonts w:eastAsia="仿宋"/>
                <w:color w:val="000000"/>
                <w:sz w:val="24"/>
              </w:rPr>
              <w:t>3.4</w:t>
            </w:r>
          </w:p>
        </w:tc>
        <w:tc>
          <w:tcPr>
            <w:tcW w:w="1527"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3.5</w:t>
            </w:r>
            <w:r w:rsidRPr="00457BA9">
              <w:rPr>
                <w:rFonts w:eastAsia="仿宋"/>
                <w:color w:val="000000"/>
                <w:sz w:val="24"/>
              </w:rPr>
              <w:t>～</w:t>
            </w:r>
            <w:r w:rsidRPr="00457BA9">
              <w:rPr>
                <w:rFonts w:eastAsia="仿宋"/>
                <w:color w:val="000000"/>
                <w:sz w:val="24"/>
              </w:rPr>
              <w:t>6.1</w:t>
            </w:r>
          </w:p>
        </w:tc>
        <w:tc>
          <w:tcPr>
            <w:tcW w:w="1560"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6.2</w:t>
            </w:r>
            <w:r w:rsidRPr="00457BA9">
              <w:rPr>
                <w:rFonts w:eastAsia="仿宋"/>
                <w:color w:val="000000"/>
                <w:sz w:val="24"/>
              </w:rPr>
              <w:t>～</w:t>
            </w:r>
            <w:r w:rsidRPr="00457BA9">
              <w:rPr>
                <w:rFonts w:eastAsia="仿宋"/>
                <w:color w:val="000000"/>
                <w:sz w:val="24"/>
              </w:rPr>
              <w:t>7.5</w:t>
            </w:r>
          </w:p>
        </w:tc>
        <w:tc>
          <w:tcPr>
            <w:tcW w:w="1449"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7.6</w:t>
            </w:r>
            <w:r w:rsidRPr="00457BA9">
              <w:rPr>
                <w:rFonts w:eastAsia="仿宋"/>
                <w:color w:val="000000"/>
                <w:sz w:val="24"/>
              </w:rPr>
              <w:t>～</w:t>
            </w:r>
            <w:r w:rsidRPr="00457BA9">
              <w:rPr>
                <w:rFonts w:eastAsia="仿宋"/>
                <w:color w:val="000000"/>
                <w:sz w:val="24"/>
              </w:rPr>
              <w:t>9.0</w:t>
            </w:r>
          </w:p>
        </w:tc>
      </w:tr>
      <w:tr w:rsidR="00F55F1C" w:rsidRPr="007D69D1" w:rsidTr="00A0600A">
        <w:trPr>
          <w:jc w:val="center"/>
        </w:trPr>
        <w:tc>
          <w:tcPr>
            <w:tcW w:w="3403" w:type="dxa"/>
            <w:gridSpan w:val="2"/>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121</w:t>
            </w:r>
            <w:r w:rsidRPr="00457BA9">
              <w:rPr>
                <w:rFonts w:ascii="宋体" w:hAnsi="宋体" w:cs="宋体" w:hint="eastAsia"/>
                <w:color w:val="000000"/>
                <w:sz w:val="24"/>
              </w:rPr>
              <w:t>℃</w:t>
            </w:r>
            <w:r w:rsidRPr="00457BA9">
              <w:rPr>
                <w:rFonts w:eastAsia="仿宋"/>
                <w:color w:val="000000"/>
                <w:sz w:val="24"/>
              </w:rPr>
              <w:t>颗粒耐水性</w:t>
            </w:r>
            <w:r w:rsidRPr="00457BA9">
              <w:rPr>
                <w:rFonts w:eastAsia="仿宋"/>
                <w:color w:val="000000"/>
                <w:vertAlign w:val="superscript"/>
              </w:rPr>
              <w:t>2</w:t>
            </w:r>
          </w:p>
        </w:tc>
        <w:tc>
          <w:tcPr>
            <w:tcW w:w="1591"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1</w:t>
            </w:r>
            <w:r w:rsidRPr="00457BA9">
              <w:rPr>
                <w:rFonts w:eastAsia="仿宋"/>
                <w:color w:val="000000"/>
                <w:sz w:val="24"/>
              </w:rPr>
              <w:t>级</w:t>
            </w:r>
          </w:p>
        </w:tc>
        <w:tc>
          <w:tcPr>
            <w:tcW w:w="1527"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1</w:t>
            </w:r>
            <w:r w:rsidRPr="00457BA9">
              <w:rPr>
                <w:rFonts w:eastAsia="仿宋"/>
                <w:color w:val="000000"/>
                <w:sz w:val="24"/>
              </w:rPr>
              <w:t>级</w:t>
            </w:r>
          </w:p>
        </w:tc>
        <w:tc>
          <w:tcPr>
            <w:tcW w:w="1560"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1</w:t>
            </w:r>
            <w:r w:rsidRPr="00457BA9">
              <w:rPr>
                <w:rFonts w:eastAsia="仿宋"/>
                <w:color w:val="000000"/>
                <w:sz w:val="24"/>
              </w:rPr>
              <w:t>级</w:t>
            </w:r>
          </w:p>
        </w:tc>
        <w:tc>
          <w:tcPr>
            <w:tcW w:w="1449"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2</w:t>
            </w:r>
            <w:r w:rsidRPr="00457BA9">
              <w:rPr>
                <w:rFonts w:eastAsia="仿宋"/>
                <w:color w:val="000000"/>
                <w:sz w:val="24"/>
              </w:rPr>
              <w:t>级</w:t>
            </w:r>
          </w:p>
        </w:tc>
      </w:tr>
      <w:tr w:rsidR="00F55F1C" w:rsidRPr="007D69D1" w:rsidTr="00A0600A">
        <w:trPr>
          <w:jc w:val="center"/>
        </w:trPr>
        <w:tc>
          <w:tcPr>
            <w:tcW w:w="3403" w:type="dxa"/>
            <w:gridSpan w:val="2"/>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98</w:t>
            </w:r>
            <w:r w:rsidRPr="00457BA9">
              <w:rPr>
                <w:rFonts w:ascii="宋体" w:hAnsi="宋体" w:cs="宋体" w:hint="eastAsia"/>
                <w:color w:val="000000"/>
                <w:sz w:val="24"/>
              </w:rPr>
              <w:t>℃</w:t>
            </w:r>
            <w:r w:rsidRPr="00457BA9">
              <w:rPr>
                <w:rFonts w:eastAsia="仿宋"/>
                <w:color w:val="000000"/>
                <w:sz w:val="24"/>
              </w:rPr>
              <w:t>颗粒耐水性</w:t>
            </w:r>
            <w:r w:rsidRPr="00457BA9">
              <w:rPr>
                <w:rFonts w:eastAsia="仿宋"/>
                <w:color w:val="000000"/>
                <w:vertAlign w:val="superscript"/>
              </w:rPr>
              <w:t>3</w:t>
            </w:r>
          </w:p>
        </w:tc>
        <w:tc>
          <w:tcPr>
            <w:tcW w:w="1591"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HGB1</w:t>
            </w:r>
            <w:r w:rsidRPr="00457BA9">
              <w:rPr>
                <w:rFonts w:eastAsia="仿宋"/>
                <w:color w:val="000000"/>
                <w:sz w:val="24"/>
              </w:rPr>
              <w:t>级</w:t>
            </w:r>
          </w:p>
        </w:tc>
        <w:tc>
          <w:tcPr>
            <w:tcW w:w="1527"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HGB1</w:t>
            </w:r>
            <w:r w:rsidRPr="00457BA9">
              <w:rPr>
                <w:rFonts w:eastAsia="仿宋"/>
                <w:color w:val="000000"/>
                <w:sz w:val="24"/>
              </w:rPr>
              <w:t>级</w:t>
            </w:r>
          </w:p>
        </w:tc>
        <w:tc>
          <w:tcPr>
            <w:tcW w:w="1560"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HGB 1</w:t>
            </w:r>
            <w:r w:rsidRPr="00457BA9">
              <w:rPr>
                <w:rFonts w:eastAsia="仿宋"/>
                <w:color w:val="000000"/>
                <w:sz w:val="24"/>
              </w:rPr>
              <w:t>级或</w:t>
            </w:r>
            <w:r w:rsidRPr="00457BA9">
              <w:rPr>
                <w:rFonts w:eastAsia="仿宋"/>
                <w:color w:val="000000"/>
                <w:sz w:val="24"/>
              </w:rPr>
              <w:t>HGB 2</w:t>
            </w:r>
            <w:r w:rsidRPr="00457BA9">
              <w:rPr>
                <w:rFonts w:eastAsia="仿宋"/>
                <w:color w:val="000000"/>
                <w:sz w:val="24"/>
              </w:rPr>
              <w:t>级</w:t>
            </w:r>
          </w:p>
        </w:tc>
        <w:tc>
          <w:tcPr>
            <w:tcW w:w="1449"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HGB 2</w:t>
            </w:r>
            <w:r w:rsidRPr="00457BA9">
              <w:rPr>
                <w:rFonts w:eastAsia="仿宋"/>
                <w:color w:val="000000"/>
                <w:sz w:val="24"/>
              </w:rPr>
              <w:t>级或</w:t>
            </w:r>
          </w:p>
          <w:p w:rsidR="00F55F1C" w:rsidRPr="00457BA9" w:rsidRDefault="00F55F1C" w:rsidP="00A0600A">
            <w:pPr>
              <w:spacing w:line="360" w:lineRule="auto"/>
              <w:jc w:val="center"/>
              <w:rPr>
                <w:rFonts w:eastAsia="仿宋"/>
                <w:color w:val="000000"/>
                <w:sz w:val="24"/>
              </w:rPr>
            </w:pPr>
            <w:r w:rsidRPr="00457BA9">
              <w:rPr>
                <w:rFonts w:eastAsia="仿宋"/>
                <w:color w:val="000000"/>
                <w:sz w:val="24"/>
              </w:rPr>
              <w:t>HGB 3</w:t>
            </w:r>
            <w:r w:rsidRPr="00457BA9">
              <w:rPr>
                <w:rFonts w:eastAsia="仿宋"/>
                <w:color w:val="000000"/>
                <w:sz w:val="24"/>
              </w:rPr>
              <w:t>级</w:t>
            </w:r>
          </w:p>
        </w:tc>
      </w:tr>
      <w:tr w:rsidR="00F55F1C" w:rsidRPr="007D69D1" w:rsidTr="00A0600A">
        <w:trPr>
          <w:jc w:val="center"/>
        </w:trPr>
        <w:tc>
          <w:tcPr>
            <w:tcW w:w="3403" w:type="dxa"/>
            <w:gridSpan w:val="2"/>
            <w:vAlign w:val="center"/>
          </w:tcPr>
          <w:p w:rsidR="00F55F1C" w:rsidRPr="00457BA9" w:rsidRDefault="00F55F1C" w:rsidP="00A0600A">
            <w:pPr>
              <w:spacing w:line="360" w:lineRule="auto"/>
              <w:jc w:val="center"/>
              <w:rPr>
                <w:rFonts w:eastAsia="仿宋"/>
                <w:sz w:val="24"/>
              </w:rPr>
            </w:pPr>
            <w:r w:rsidRPr="00457BA9">
              <w:rPr>
                <w:rFonts w:eastAsia="仿宋"/>
                <w:sz w:val="24"/>
              </w:rPr>
              <w:t>内表面耐水性</w:t>
            </w:r>
            <w:r w:rsidRPr="00457BA9">
              <w:rPr>
                <w:rFonts w:eastAsia="仿宋"/>
                <w:color w:val="000000"/>
                <w:vertAlign w:val="superscript"/>
              </w:rPr>
              <w:t>4</w:t>
            </w:r>
          </w:p>
        </w:tc>
        <w:tc>
          <w:tcPr>
            <w:tcW w:w="1591" w:type="dxa"/>
            <w:vAlign w:val="center"/>
          </w:tcPr>
          <w:p w:rsidR="00F55F1C" w:rsidRPr="00457BA9" w:rsidRDefault="00F55F1C" w:rsidP="00A0600A">
            <w:pPr>
              <w:spacing w:line="360" w:lineRule="auto"/>
              <w:jc w:val="center"/>
              <w:rPr>
                <w:rFonts w:eastAsia="仿宋"/>
                <w:sz w:val="24"/>
              </w:rPr>
            </w:pPr>
            <w:r w:rsidRPr="00457BA9">
              <w:rPr>
                <w:rFonts w:eastAsia="仿宋"/>
                <w:sz w:val="24"/>
              </w:rPr>
              <w:t>HC1</w:t>
            </w:r>
            <w:r w:rsidRPr="00457BA9">
              <w:rPr>
                <w:rFonts w:eastAsia="仿宋"/>
                <w:sz w:val="24"/>
              </w:rPr>
              <w:t>级</w:t>
            </w:r>
          </w:p>
        </w:tc>
        <w:tc>
          <w:tcPr>
            <w:tcW w:w="1527" w:type="dxa"/>
            <w:vAlign w:val="center"/>
          </w:tcPr>
          <w:p w:rsidR="00F55F1C" w:rsidRPr="00457BA9" w:rsidRDefault="00F55F1C" w:rsidP="00A0600A">
            <w:pPr>
              <w:spacing w:line="360" w:lineRule="auto"/>
              <w:jc w:val="center"/>
              <w:rPr>
                <w:rFonts w:eastAsia="仿宋"/>
                <w:sz w:val="24"/>
              </w:rPr>
            </w:pPr>
            <w:r w:rsidRPr="00457BA9">
              <w:rPr>
                <w:rFonts w:eastAsia="仿宋"/>
                <w:sz w:val="24"/>
              </w:rPr>
              <w:t>HC1</w:t>
            </w:r>
            <w:r w:rsidRPr="00457BA9">
              <w:rPr>
                <w:rFonts w:eastAsia="仿宋"/>
                <w:sz w:val="24"/>
              </w:rPr>
              <w:t>级</w:t>
            </w:r>
          </w:p>
        </w:tc>
        <w:tc>
          <w:tcPr>
            <w:tcW w:w="1560" w:type="dxa"/>
            <w:vAlign w:val="center"/>
          </w:tcPr>
          <w:p w:rsidR="00F55F1C" w:rsidRPr="00457BA9" w:rsidRDefault="00F55F1C" w:rsidP="00A0600A">
            <w:pPr>
              <w:spacing w:line="360" w:lineRule="auto"/>
              <w:jc w:val="center"/>
              <w:rPr>
                <w:rFonts w:eastAsia="仿宋"/>
                <w:sz w:val="24"/>
              </w:rPr>
            </w:pPr>
            <w:r w:rsidRPr="00457BA9">
              <w:rPr>
                <w:rFonts w:eastAsia="仿宋"/>
                <w:sz w:val="24"/>
              </w:rPr>
              <w:t>HC1</w:t>
            </w:r>
            <w:r w:rsidRPr="00457BA9">
              <w:rPr>
                <w:rFonts w:eastAsia="仿宋"/>
                <w:sz w:val="24"/>
              </w:rPr>
              <w:t>级或</w:t>
            </w:r>
            <w:r w:rsidRPr="00457BA9">
              <w:rPr>
                <w:rFonts w:eastAsia="仿宋"/>
                <w:sz w:val="24"/>
              </w:rPr>
              <w:t>HCB</w:t>
            </w:r>
            <w:r w:rsidRPr="00457BA9">
              <w:rPr>
                <w:rFonts w:eastAsia="仿宋"/>
                <w:sz w:val="24"/>
              </w:rPr>
              <w:t>级</w:t>
            </w:r>
          </w:p>
        </w:tc>
        <w:tc>
          <w:tcPr>
            <w:tcW w:w="1449" w:type="dxa"/>
            <w:vAlign w:val="center"/>
          </w:tcPr>
          <w:p w:rsidR="00F55F1C" w:rsidRPr="00457BA9" w:rsidRDefault="00F55F1C" w:rsidP="00A0600A">
            <w:pPr>
              <w:spacing w:line="360" w:lineRule="auto"/>
              <w:jc w:val="center"/>
              <w:rPr>
                <w:rFonts w:eastAsia="仿宋"/>
                <w:sz w:val="24"/>
              </w:rPr>
            </w:pPr>
            <w:r w:rsidRPr="00457BA9">
              <w:rPr>
                <w:rFonts w:eastAsia="仿宋"/>
                <w:sz w:val="24"/>
              </w:rPr>
              <w:t xml:space="preserve">  HC2</w:t>
            </w:r>
            <w:r w:rsidRPr="00457BA9">
              <w:rPr>
                <w:rFonts w:eastAsia="仿宋"/>
                <w:sz w:val="24"/>
              </w:rPr>
              <w:t>级或</w:t>
            </w:r>
            <w:r w:rsidRPr="00457BA9">
              <w:rPr>
                <w:rFonts w:eastAsia="仿宋"/>
                <w:sz w:val="24"/>
              </w:rPr>
              <w:t>HC3</w:t>
            </w:r>
            <w:r w:rsidRPr="00457BA9">
              <w:rPr>
                <w:rFonts w:eastAsia="仿宋"/>
                <w:sz w:val="24"/>
              </w:rPr>
              <w:t>级</w:t>
            </w:r>
          </w:p>
        </w:tc>
      </w:tr>
      <w:tr w:rsidR="00F55F1C" w:rsidRPr="007D69D1" w:rsidTr="00A0600A">
        <w:trPr>
          <w:cantSplit/>
          <w:trHeight w:val="199"/>
          <w:jc w:val="center"/>
        </w:trPr>
        <w:tc>
          <w:tcPr>
            <w:tcW w:w="1188" w:type="dxa"/>
            <w:vMerge w:val="restart"/>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耐酸性能</w:t>
            </w:r>
          </w:p>
        </w:tc>
        <w:tc>
          <w:tcPr>
            <w:tcW w:w="2215"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重量法</w:t>
            </w:r>
          </w:p>
        </w:tc>
        <w:tc>
          <w:tcPr>
            <w:tcW w:w="1591"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1</w:t>
            </w:r>
            <w:r w:rsidRPr="00457BA9">
              <w:rPr>
                <w:rFonts w:eastAsia="仿宋"/>
                <w:color w:val="000000"/>
                <w:sz w:val="24"/>
              </w:rPr>
              <w:t>级</w:t>
            </w:r>
          </w:p>
        </w:tc>
        <w:tc>
          <w:tcPr>
            <w:tcW w:w="1527"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1</w:t>
            </w:r>
            <w:r w:rsidRPr="00457BA9">
              <w:rPr>
                <w:rFonts w:eastAsia="仿宋"/>
                <w:color w:val="000000"/>
                <w:sz w:val="24"/>
              </w:rPr>
              <w:t>级</w:t>
            </w:r>
          </w:p>
        </w:tc>
        <w:tc>
          <w:tcPr>
            <w:tcW w:w="1560"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1</w:t>
            </w:r>
            <w:r w:rsidRPr="00457BA9">
              <w:rPr>
                <w:rFonts w:eastAsia="仿宋"/>
                <w:color w:val="000000"/>
                <w:sz w:val="24"/>
              </w:rPr>
              <w:t>级</w:t>
            </w:r>
          </w:p>
        </w:tc>
        <w:tc>
          <w:tcPr>
            <w:tcW w:w="1449"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1</w:t>
            </w:r>
            <w:r w:rsidRPr="00457BA9">
              <w:rPr>
                <w:rFonts w:eastAsia="仿宋"/>
                <w:color w:val="000000"/>
                <w:sz w:val="24"/>
              </w:rPr>
              <w:t>～</w:t>
            </w:r>
            <w:r w:rsidRPr="00457BA9">
              <w:rPr>
                <w:rFonts w:eastAsia="仿宋"/>
                <w:color w:val="000000"/>
                <w:sz w:val="24"/>
              </w:rPr>
              <w:t>2</w:t>
            </w:r>
            <w:r w:rsidRPr="00457BA9">
              <w:rPr>
                <w:rFonts w:eastAsia="仿宋"/>
                <w:color w:val="000000"/>
                <w:sz w:val="24"/>
              </w:rPr>
              <w:t>级</w:t>
            </w:r>
          </w:p>
        </w:tc>
      </w:tr>
      <w:tr w:rsidR="00F55F1C" w:rsidRPr="007D69D1" w:rsidTr="00A0600A">
        <w:trPr>
          <w:cantSplit/>
          <w:jc w:val="center"/>
        </w:trPr>
        <w:tc>
          <w:tcPr>
            <w:tcW w:w="1188" w:type="dxa"/>
            <w:vMerge/>
            <w:vAlign w:val="center"/>
          </w:tcPr>
          <w:p w:rsidR="00F55F1C" w:rsidRPr="00457BA9" w:rsidRDefault="00F55F1C" w:rsidP="00A0600A">
            <w:pPr>
              <w:spacing w:line="360" w:lineRule="auto"/>
              <w:jc w:val="center"/>
              <w:rPr>
                <w:rFonts w:eastAsia="仿宋"/>
                <w:color w:val="000000"/>
                <w:sz w:val="24"/>
              </w:rPr>
            </w:pPr>
          </w:p>
        </w:tc>
        <w:tc>
          <w:tcPr>
            <w:tcW w:w="2215" w:type="dxa"/>
            <w:vAlign w:val="center"/>
          </w:tcPr>
          <w:p w:rsidR="00F55F1C" w:rsidRPr="00457BA9" w:rsidRDefault="00F55F1C" w:rsidP="00A0600A">
            <w:pPr>
              <w:spacing w:line="360" w:lineRule="auto"/>
              <w:jc w:val="center"/>
              <w:rPr>
                <w:rFonts w:eastAsia="仿宋"/>
                <w:color w:val="000000"/>
              </w:rPr>
            </w:pPr>
            <w:r w:rsidRPr="00457BA9">
              <w:rPr>
                <w:rFonts w:eastAsia="仿宋"/>
                <w:color w:val="000000"/>
              </w:rPr>
              <w:t>原子吸收分光光度法</w:t>
            </w:r>
          </w:p>
        </w:tc>
        <w:tc>
          <w:tcPr>
            <w:tcW w:w="1591" w:type="dxa"/>
            <w:vAlign w:val="center"/>
          </w:tcPr>
          <w:p w:rsidR="00F55F1C" w:rsidRPr="00457BA9" w:rsidRDefault="00F55F1C" w:rsidP="00A0600A">
            <w:pPr>
              <w:spacing w:line="360" w:lineRule="auto"/>
              <w:jc w:val="center"/>
              <w:rPr>
                <w:rFonts w:eastAsia="仿宋"/>
                <w:color w:val="000000"/>
                <w:sz w:val="24"/>
                <w:vertAlign w:val="superscript"/>
              </w:rPr>
            </w:pPr>
            <w:r w:rsidRPr="00457BA9">
              <w:rPr>
                <w:rFonts w:eastAsia="仿宋"/>
                <w:color w:val="000000"/>
                <w:sz w:val="24"/>
              </w:rPr>
              <w:t>100μg/dm</w:t>
            </w:r>
            <w:r w:rsidRPr="00457BA9">
              <w:rPr>
                <w:rFonts w:eastAsia="仿宋"/>
                <w:color w:val="000000"/>
                <w:sz w:val="24"/>
                <w:vertAlign w:val="superscript"/>
              </w:rPr>
              <w:t>2</w:t>
            </w:r>
          </w:p>
        </w:tc>
        <w:tc>
          <w:tcPr>
            <w:tcW w:w="1527" w:type="dxa"/>
            <w:vAlign w:val="center"/>
          </w:tcPr>
          <w:p w:rsidR="00F55F1C" w:rsidRPr="00457BA9" w:rsidRDefault="00F55F1C" w:rsidP="00A0600A">
            <w:pPr>
              <w:spacing w:line="360" w:lineRule="auto"/>
              <w:jc w:val="center"/>
              <w:rPr>
                <w:rFonts w:eastAsia="仿宋"/>
                <w:color w:val="000000"/>
                <w:sz w:val="24"/>
                <w:vertAlign w:val="superscript"/>
              </w:rPr>
            </w:pPr>
            <w:r w:rsidRPr="00457BA9">
              <w:rPr>
                <w:rFonts w:eastAsia="仿宋"/>
                <w:color w:val="000000"/>
                <w:sz w:val="24"/>
              </w:rPr>
              <w:t>100μg/dm</w:t>
            </w:r>
            <w:r w:rsidRPr="00457BA9">
              <w:rPr>
                <w:rFonts w:eastAsia="仿宋"/>
                <w:color w:val="000000"/>
                <w:sz w:val="24"/>
                <w:vertAlign w:val="superscript"/>
              </w:rPr>
              <w:t>2</w:t>
            </w:r>
          </w:p>
        </w:tc>
        <w:tc>
          <w:tcPr>
            <w:tcW w:w="1560"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w:t>
            </w:r>
          </w:p>
        </w:tc>
        <w:tc>
          <w:tcPr>
            <w:tcW w:w="1449"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w:t>
            </w:r>
          </w:p>
        </w:tc>
      </w:tr>
      <w:tr w:rsidR="00F55F1C" w:rsidRPr="007D69D1" w:rsidTr="00A0600A">
        <w:trPr>
          <w:jc w:val="center"/>
        </w:trPr>
        <w:tc>
          <w:tcPr>
            <w:tcW w:w="3403" w:type="dxa"/>
            <w:gridSpan w:val="2"/>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耐碱性能</w:t>
            </w:r>
          </w:p>
        </w:tc>
        <w:tc>
          <w:tcPr>
            <w:tcW w:w="1591"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2</w:t>
            </w:r>
            <w:r w:rsidRPr="00457BA9">
              <w:rPr>
                <w:rFonts w:eastAsia="仿宋"/>
                <w:color w:val="000000"/>
                <w:sz w:val="24"/>
              </w:rPr>
              <w:t>级</w:t>
            </w:r>
          </w:p>
        </w:tc>
        <w:tc>
          <w:tcPr>
            <w:tcW w:w="1527"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2</w:t>
            </w:r>
            <w:r w:rsidRPr="00457BA9">
              <w:rPr>
                <w:rFonts w:eastAsia="仿宋"/>
                <w:color w:val="000000"/>
                <w:sz w:val="24"/>
              </w:rPr>
              <w:t>级</w:t>
            </w:r>
          </w:p>
        </w:tc>
        <w:tc>
          <w:tcPr>
            <w:tcW w:w="1560"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2</w:t>
            </w:r>
            <w:r w:rsidRPr="00457BA9">
              <w:rPr>
                <w:rFonts w:eastAsia="仿宋"/>
                <w:color w:val="000000"/>
                <w:sz w:val="24"/>
              </w:rPr>
              <w:t>级</w:t>
            </w:r>
          </w:p>
        </w:tc>
        <w:tc>
          <w:tcPr>
            <w:tcW w:w="1449" w:type="dxa"/>
            <w:vAlign w:val="center"/>
          </w:tcPr>
          <w:p w:rsidR="00F55F1C" w:rsidRPr="00457BA9" w:rsidRDefault="00F55F1C" w:rsidP="00A0600A">
            <w:pPr>
              <w:spacing w:line="360" w:lineRule="auto"/>
              <w:jc w:val="center"/>
              <w:rPr>
                <w:rFonts w:eastAsia="仿宋"/>
                <w:color w:val="000000"/>
                <w:sz w:val="24"/>
              </w:rPr>
            </w:pPr>
            <w:r w:rsidRPr="00457BA9">
              <w:rPr>
                <w:rFonts w:eastAsia="仿宋"/>
                <w:color w:val="000000"/>
                <w:sz w:val="24"/>
              </w:rPr>
              <w:t>2</w:t>
            </w:r>
            <w:r w:rsidRPr="00457BA9">
              <w:rPr>
                <w:rFonts w:eastAsia="仿宋"/>
                <w:color w:val="000000"/>
                <w:sz w:val="24"/>
              </w:rPr>
              <w:t>级</w:t>
            </w:r>
          </w:p>
        </w:tc>
      </w:tr>
    </w:tbl>
    <w:p w:rsidR="00F55F1C" w:rsidRDefault="00F55F1C" w:rsidP="00F55F1C">
      <w:pPr>
        <w:spacing w:line="360" w:lineRule="auto"/>
        <w:jc w:val="center"/>
        <w:rPr>
          <w:rFonts w:ascii="仿宋" w:eastAsia="仿宋" w:hAnsi="仿宋"/>
          <w:b/>
          <w:sz w:val="28"/>
          <w:szCs w:val="28"/>
        </w:rPr>
      </w:pPr>
    </w:p>
    <w:p w:rsidR="00F55F1C" w:rsidRPr="00457BA9" w:rsidRDefault="00F55F1C" w:rsidP="00F55F1C">
      <w:pPr>
        <w:spacing w:line="360" w:lineRule="auto"/>
        <w:jc w:val="center"/>
        <w:rPr>
          <w:rFonts w:eastAsia="楷体_GB2312"/>
          <w:bCs/>
          <w:kern w:val="0"/>
          <w:sz w:val="32"/>
          <w:szCs w:val="32"/>
        </w:rPr>
      </w:pPr>
      <w:r w:rsidRPr="00457BA9">
        <w:rPr>
          <w:rFonts w:eastAsia="楷体_GB2312" w:hint="eastAsia"/>
          <w:bCs/>
          <w:kern w:val="0"/>
          <w:sz w:val="32"/>
          <w:szCs w:val="32"/>
        </w:rPr>
        <w:t>附件</w:t>
      </w:r>
      <w:r w:rsidRPr="00457BA9">
        <w:rPr>
          <w:rFonts w:eastAsia="楷体_GB2312" w:hint="eastAsia"/>
          <w:bCs/>
          <w:kern w:val="0"/>
          <w:sz w:val="32"/>
          <w:szCs w:val="32"/>
        </w:rPr>
        <w:t>2</w:t>
      </w:r>
      <w:r w:rsidRPr="00457BA9">
        <w:rPr>
          <w:rFonts w:eastAsia="楷体_GB2312" w:hint="eastAsia"/>
          <w:bCs/>
          <w:kern w:val="0"/>
          <w:sz w:val="32"/>
          <w:szCs w:val="32"/>
        </w:rPr>
        <w:t>：美国、欧洲以及日本对玻璃的分类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470"/>
        <w:gridCol w:w="1239"/>
        <w:gridCol w:w="1229"/>
        <w:gridCol w:w="1227"/>
        <w:gridCol w:w="1095"/>
      </w:tblGrid>
      <w:tr w:rsidR="00F55F1C" w:rsidRPr="007D69D1" w:rsidTr="00A0600A">
        <w:trPr>
          <w:trHeight w:val="1660"/>
          <w:jc w:val="center"/>
        </w:trPr>
        <w:tc>
          <w:tcPr>
            <w:tcW w:w="2262" w:type="dxa"/>
          </w:tcPr>
          <w:p w:rsidR="00F55F1C" w:rsidRPr="007D69D1" w:rsidRDefault="00F55F1C" w:rsidP="00A0600A">
            <w:pPr>
              <w:autoSpaceDE w:val="0"/>
              <w:autoSpaceDN w:val="0"/>
              <w:adjustRightInd w:val="0"/>
              <w:snapToGrid w:val="0"/>
              <w:spacing w:line="240" w:lineRule="atLeast"/>
              <w:ind w:firstLineChars="550" w:firstLine="1320"/>
              <w:rPr>
                <w:rFonts w:ascii="仿宋" w:eastAsia="仿宋" w:hAnsi="仿宋"/>
                <w:kern w:val="0"/>
                <w:sz w:val="24"/>
              </w:rPr>
            </w:pPr>
            <w:r>
              <w:rPr>
                <w:rFonts w:ascii="仿宋" w:eastAsia="仿宋" w:hAnsi="仿宋"/>
                <w:noProof/>
                <w:kern w:val="0"/>
                <w:sz w:val="24"/>
              </w:rPr>
              <mc:AlternateContent>
                <mc:Choice Requires="wps">
                  <w:drawing>
                    <wp:anchor distT="0" distB="0" distL="114300" distR="114300" simplePos="0" relativeHeight="251663360" behindDoc="0" locked="0" layoutInCell="1" allowOverlap="1">
                      <wp:simplePos x="0" y="0"/>
                      <wp:positionH relativeFrom="column">
                        <wp:posOffset>619125</wp:posOffset>
                      </wp:positionH>
                      <wp:positionV relativeFrom="paragraph">
                        <wp:posOffset>0</wp:posOffset>
                      </wp:positionV>
                      <wp:extent cx="742950" cy="1047115"/>
                      <wp:effectExtent l="9525" t="10160" r="9525" b="9525"/>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1047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5" o:spid="_x0000_s1026" type="#_x0000_t32" style="position:absolute;left:0;text-align:left;margin-left:48.75pt;margin-top:0;width:58.5pt;height:8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"/>
                  </w:pict>
                </mc:Fallback>
              </mc:AlternateContent>
            </w:r>
            <w:r w:rsidRPr="007D69D1">
              <w:rPr>
                <w:rFonts w:ascii="仿宋" w:eastAsia="仿宋" w:hAnsi="仿宋" w:hint="eastAsia"/>
                <w:kern w:val="0"/>
                <w:sz w:val="24"/>
              </w:rPr>
              <w:t>国家或</w:t>
            </w:r>
          </w:p>
          <w:p w:rsidR="00F55F1C" w:rsidRPr="007D69D1" w:rsidRDefault="00F55F1C" w:rsidP="00A0600A">
            <w:pPr>
              <w:autoSpaceDE w:val="0"/>
              <w:autoSpaceDN w:val="0"/>
              <w:adjustRightInd w:val="0"/>
              <w:snapToGrid w:val="0"/>
              <w:spacing w:line="240" w:lineRule="atLeast"/>
              <w:ind w:firstLineChars="600" w:firstLine="1440"/>
              <w:rPr>
                <w:rFonts w:ascii="仿宋" w:eastAsia="仿宋" w:hAnsi="仿宋"/>
                <w:kern w:val="0"/>
                <w:sz w:val="24"/>
              </w:rPr>
            </w:pPr>
            <w:r w:rsidRPr="007D69D1">
              <w:rPr>
                <w:rFonts w:ascii="仿宋" w:eastAsia="仿宋" w:hAnsi="仿宋" w:hint="eastAsia"/>
                <w:kern w:val="0"/>
                <w:sz w:val="24"/>
              </w:rPr>
              <w:t>机构</w:t>
            </w:r>
          </w:p>
          <w:p w:rsidR="00F55F1C" w:rsidRPr="007D69D1" w:rsidRDefault="00F55F1C" w:rsidP="00A0600A">
            <w:pPr>
              <w:autoSpaceDE w:val="0"/>
              <w:autoSpaceDN w:val="0"/>
              <w:adjustRightInd w:val="0"/>
              <w:snapToGrid w:val="0"/>
              <w:spacing w:line="240" w:lineRule="atLeast"/>
              <w:ind w:firstLineChars="150" w:firstLine="360"/>
              <w:rPr>
                <w:rFonts w:ascii="仿宋" w:eastAsia="仿宋" w:hAnsi="仿宋"/>
                <w:kern w:val="0"/>
                <w:sz w:val="24"/>
              </w:rPr>
            </w:pPr>
            <w:r>
              <w:rPr>
                <w:rFonts w:ascii="仿宋" w:eastAsia="仿宋" w:hAnsi="仿宋"/>
                <w:noProof/>
                <w:kern w:val="0"/>
                <w:sz w:val="24"/>
              </w:rPr>
              <mc:AlternateContent>
                <mc:Choice Requires="wps">
                  <w:drawing>
                    <wp:anchor distT="0" distB="0" distL="114300" distR="114300" simplePos="0" relativeHeight="251662336" behindDoc="0" locked="0" layoutInCell="1" allowOverlap="1">
                      <wp:simplePos x="0" y="0"/>
                      <wp:positionH relativeFrom="column">
                        <wp:posOffset>-85725</wp:posOffset>
                      </wp:positionH>
                      <wp:positionV relativeFrom="paragraph">
                        <wp:posOffset>146685</wp:posOffset>
                      </wp:positionV>
                      <wp:extent cx="1447800" cy="504825"/>
                      <wp:effectExtent l="9525" t="8890" r="9525" b="1016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4" o:spid="_x0000_s1026" type="#_x0000_t32" style="position:absolute;left:0;text-align:left;margin-left:-6.75pt;margin-top:11.55pt;width:114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"/>
                  </w:pict>
                </mc:Fallback>
              </mc:AlternateContent>
            </w:r>
            <w:r w:rsidRPr="007D69D1">
              <w:rPr>
                <w:rFonts w:ascii="仿宋" w:eastAsia="仿宋" w:hAnsi="仿宋" w:hint="eastAsia"/>
                <w:kern w:val="0"/>
                <w:sz w:val="24"/>
              </w:rPr>
              <w:t>分类对应</w:t>
            </w:r>
          </w:p>
          <w:p w:rsidR="00F55F1C" w:rsidRPr="007D69D1" w:rsidRDefault="00F55F1C" w:rsidP="00A0600A">
            <w:pPr>
              <w:autoSpaceDE w:val="0"/>
              <w:autoSpaceDN w:val="0"/>
              <w:adjustRightInd w:val="0"/>
              <w:snapToGrid w:val="0"/>
              <w:spacing w:line="240" w:lineRule="atLeast"/>
              <w:ind w:firstLineChars="350" w:firstLine="840"/>
              <w:rPr>
                <w:rFonts w:ascii="仿宋" w:eastAsia="仿宋" w:hAnsi="仿宋"/>
                <w:kern w:val="0"/>
                <w:sz w:val="24"/>
              </w:rPr>
            </w:pPr>
            <w:r w:rsidRPr="007D69D1">
              <w:rPr>
                <w:rFonts w:ascii="仿宋" w:eastAsia="仿宋" w:hAnsi="仿宋" w:hint="eastAsia"/>
                <w:kern w:val="0"/>
                <w:sz w:val="24"/>
              </w:rPr>
              <w:t>关系</w:t>
            </w:r>
          </w:p>
          <w:p w:rsidR="00F55F1C" w:rsidRPr="007D69D1" w:rsidRDefault="00F55F1C" w:rsidP="00A0600A">
            <w:pPr>
              <w:autoSpaceDE w:val="0"/>
              <w:autoSpaceDN w:val="0"/>
              <w:adjustRightInd w:val="0"/>
              <w:snapToGrid w:val="0"/>
              <w:spacing w:line="240" w:lineRule="atLeast"/>
              <w:rPr>
                <w:rFonts w:ascii="仿宋" w:eastAsia="仿宋" w:hAnsi="仿宋"/>
                <w:kern w:val="0"/>
                <w:sz w:val="24"/>
              </w:rPr>
            </w:pPr>
            <w:r w:rsidRPr="007D69D1">
              <w:rPr>
                <w:rFonts w:ascii="仿宋" w:eastAsia="仿宋" w:hAnsi="仿宋" w:hint="eastAsia"/>
                <w:kern w:val="0"/>
                <w:sz w:val="24"/>
              </w:rPr>
              <w:t>用途</w:t>
            </w:r>
          </w:p>
        </w:tc>
        <w:tc>
          <w:tcPr>
            <w:tcW w:w="1470" w:type="dxa"/>
            <w:vAlign w:val="center"/>
          </w:tcPr>
          <w:p w:rsidR="00F55F1C" w:rsidRPr="00457BA9" w:rsidRDefault="00F55F1C" w:rsidP="00A0600A">
            <w:pPr>
              <w:autoSpaceDE w:val="0"/>
              <w:autoSpaceDN w:val="0"/>
              <w:adjustRightInd w:val="0"/>
              <w:snapToGrid w:val="0"/>
              <w:spacing w:line="240" w:lineRule="atLeast"/>
              <w:jc w:val="center"/>
              <w:rPr>
                <w:rFonts w:eastAsia="仿宋"/>
                <w:color w:val="000000"/>
                <w:sz w:val="24"/>
              </w:rPr>
            </w:pPr>
            <w:r w:rsidRPr="00457BA9">
              <w:rPr>
                <w:rFonts w:eastAsia="仿宋"/>
                <w:color w:val="000000"/>
                <w:sz w:val="24"/>
              </w:rPr>
              <w:t>ASTM-E438</w:t>
            </w:r>
          </w:p>
        </w:tc>
        <w:tc>
          <w:tcPr>
            <w:tcW w:w="1239" w:type="dxa"/>
            <w:vAlign w:val="center"/>
          </w:tcPr>
          <w:p w:rsidR="00F55F1C" w:rsidRPr="00457BA9" w:rsidRDefault="00F55F1C" w:rsidP="00A0600A">
            <w:pPr>
              <w:autoSpaceDE w:val="0"/>
              <w:autoSpaceDN w:val="0"/>
              <w:adjustRightInd w:val="0"/>
              <w:snapToGrid w:val="0"/>
              <w:spacing w:line="240" w:lineRule="atLeast"/>
              <w:jc w:val="center"/>
              <w:rPr>
                <w:rFonts w:eastAsia="仿宋"/>
                <w:color w:val="000000"/>
                <w:sz w:val="24"/>
              </w:rPr>
            </w:pPr>
            <w:r w:rsidRPr="00457BA9">
              <w:rPr>
                <w:rFonts w:eastAsia="仿宋"/>
                <w:color w:val="000000"/>
                <w:sz w:val="24"/>
              </w:rPr>
              <w:t>USP</w:t>
            </w:r>
          </w:p>
        </w:tc>
        <w:tc>
          <w:tcPr>
            <w:tcW w:w="1229" w:type="dxa"/>
            <w:vAlign w:val="center"/>
          </w:tcPr>
          <w:p w:rsidR="00F55F1C" w:rsidRPr="00457BA9" w:rsidRDefault="00F55F1C" w:rsidP="00A0600A">
            <w:pPr>
              <w:autoSpaceDE w:val="0"/>
              <w:autoSpaceDN w:val="0"/>
              <w:adjustRightInd w:val="0"/>
              <w:snapToGrid w:val="0"/>
              <w:spacing w:line="240" w:lineRule="atLeast"/>
              <w:jc w:val="center"/>
              <w:rPr>
                <w:rFonts w:eastAsia="仿宋"/>
                <w:color w:val="000000"/>
                <w:sz w:val="24"/>
              </w:rPr>
            </w:pPr>
            <w:r w:rsidRPr="00457BA9">
              <w:rPr>
                <w:rFonts w:eastAsia="仿宋"/>
                <w:color w:val="000000"/>
                <w:sz w:val="24"/>
              </w:rPr>
              <w:t>EP</w:t>
            </w:r>
          </w:p>
        </w:tc>
        <w:tc>
          <w:tcPr>
            <w:tcW w:w="1227" w:type="dxa"/>
            <w:vAlign w:val="center"/>
          </w:tcPr>
          <w:p w:rsidR="00F55F1C" w:rsidRPr="00457BA9" w:rsidRDefault="00F55F1C" w:rsidP="00A0600A">
            <w:pPr>
              <w:autoSpaceDE w:val="0"/>
              <w:autoSpaceDN w:val="0"/>
              <w:adjustRightInd w:val="0"/>
              <w:snapToGrid w:val="0"/>
              <w:spacing w:line="240" w:lineRule="atLeast"/>
              <w:jc w:val="center"/>
              <w:rPr>
                <w:rFonts w:eastAsia="仿宋"/>
                <w:color w:val="000000"/>
                <w:sz w:val="24"/>
              </w:rPr>
            </w:pPr>
            <w:r w:rsidRPr="00457BA9">
              <w:rPr>
                <w:rFonts w:eastAsia="仿宋" w:hint="eastAsia"/>
                <w:color w:val="000000"/>
                <w:sz w:val="24"/>
              </w:rPr>
              <w:t>日本</w:t>
            </w:r>
          </w:p>
        </w:tc>
        <w:tc>
          <w:tcPr>
            <w:tcW w:w="1095" w:type="dxa"/>
            <w:vAlign w:val="center"/>
          </w:tcPr>
          <w:p w:rsidR="00F55F1C" w:rsidRPr="007D69D1" w:rsidRDefault="00F55F1C" w:rsidP="00A0600A">
            <w:pPr>
              <w:autoSpaceDE w:val="0"/>
              <w:autoSpaceDN w:val="0"/>
              <w:adjustRightInd w:val="0"/>
              <w:snapToGrid w:val="0"/>
              <w:spacing w:line="240" w:lineRule="atLeast"/>
              <w:jc w:val="center"/>
              <w:rPr>
                <w:rFonts w:ascii="仿宋" w:eastAsia="仿宋" w:hAnsi="仿宋"/>
                <w:kern w:val="0"/>
                <w:sz w:val="24"/>
              </w:rPr>
            </w:pPr>
            <w:r w:rsidRPr="007D69D1">
              <w:rPr>
                <w:rFonts w:ascii="仿宋" w:eastAsia="仿宋" w:hAnsi="仿宋" w:hint="eastAsia"/>
                <w:bCs/>
                <w:kern w:val="0"/>
                <w:sz w:val="24"/>
              </w:rPr>
              <w:t>内表面耐水性</w:t>
            </w:r>
          </w:p>
        </w:tc>
      </w:tr>
      <w:tr w:rsidR="00F55F1C" w:rsidRPr="007D69D1" w:rsidTr="00A0600A">
        <w:trPr>
          <w:trHeight w:val="820"/>
          <w:jc w:val="center"/>
        </w:trPr>
        <w:tc>
          <w:tcPr>
            <w:tcW w:w="2262" w:type="dxa"/>
            <w:vAlign w:val="center"/>
          </w:tcPr>
          <w:p w:rsidR="00F55F1C" w:rsidRPr="007D69D1" w:rsidRDefault="00F55F1C" w:rsidP="00A0600A">
            <w:pPr>
              <w:autoSpaceDE w:val="0"/>
              <w:autoSpaceDN w:val="0"/>
              <w:adjustRightInd w:val="0"/>
              <w:snapToGrid w:val="0"/>
              <w:spacing w:line="240" w:lineRule="atLeast"/>
              <w:rPr>
                <w:rFonts w:ascii="仿宋" w:eastAsia="仿宋" w:hAnsi="仿宋"/>
                <w:bCs/>
                <w:kern w:val="0"/>
                <w:sz w:val="24"/>
              </w:rPr>
            </w:pPr>
            <w:r w:rsidRPr="007D69D1">
              <w:rPr>
                <w:rFonts w:ascii="仿宋" w:eastAsia="仿宋" w:hAnsi="仿宋" w:hint="eastAsia"/>
                <w:bCs/>
                <w:kern w:val="0"/>
                <w:sz w:val="24"/>
              </w:rPr>
              <w:t>注射及冻干</w:t>
            </w:r>
          </w:p>
        </w:tc>
        <w:tc>
          <w:tcPr>
            <w:tcW w:w="1470" w:type="dxa"/>
            <w:vAlign w:val="center"/>
          </w:tcPr>
          <w:p w:rsidR="00F55F1C" w:rsidRPr="00457BA9" w:rsidRDefault="00F55F1C" w:rsidP="00A0600A">
            <w:pPr>
              <w:autoSpaceDE w:val="0"/>
              <w:autoSpaceDN w:val="0"/>
              <w:adjustRightInd w:val="0"/>
              <w:snapToGrid w:val="0"/>
              <w:spacing w:line="240" w:lineRule="atLeast"/>
              <w:rPr>
                <w:rFonts w:eastAsia="仿宋"/>
                <w:color w:val="000000"/>
                <w:sz w:val="24"/>
              </w:rPr>
            </w:pPr>
            <w:r w:rsidRPr="00457BA9">
              <w:rPr>
                <w:rFonts w:eastAsia="仿宋"/>
                <w:color w:val="000000"/>
                <w:sz w:val="24"/>
              </w:rPr>
              <w:t>I Class A</w:t>
            </w:r>
          </w:p>
        </w:tc>
        <w:tc>
          <w:tcPr>
            <w:tcW w:w="1239" w:type="dxa"/>
            <w:vAlign w:val="center"/>
          </w:tcPr>
          <w:p w:rsidR="00F55F1C" w:rsidRPr="00457BA9" w:rsidRDefault="00F55F1C" w:rsidP="00A0600A">
            <w:pPr>
              <w:autoSpaceDE w:val="0"/>
              <w:autoSpaceDN w:val="0"/>
              <w:adjustRightInd w:val="0"/>
              <w:snapToGrid w:val="0"/>
              <w:spacing w:line="240" w:lineRule="atLeast"/>
              <w:rPr>
                <w:rFonts w:eastAsia="仿宋"/>
                <w:color w:val="000000"/>
                <w:sz w:val="24"/>
              </w:rPr>
            </w:pPr>
            <w:r w:rsidRPr="00457BA9">
              <w:rPr>
                <w:rFonts w:eastAsia="仿宋" w:hint="eastAsia"/>
                <w:color w:val="000000"/>
                <w:sz w:val="24"/>
              </w:rPr>
              <w:t>1</w:t>
            </w:r>
          </w:p>
        </w:tc>
        <w:tc>
          <w:tcPr>
            <w:tcW w:w="1229" w:type="dxa"/>
            <w:vAlign w:val="center"/>
          </w:tcPr>
          <w:p w:rsidR="00F55F1C" w:rsidRPr="00457BA9" w:rsidRDefault="00F55F1C" w:rsidP="00A0600A">
            <w:pPr>
              <w:autoSpaceDE w:val="0"/>
              <w:autoSpaceDN w:val="0"/>
              <w:adjustRightInd w:val="0"/>
              <w:snapToGrid w:val="0"/>
              <w:spacing w:line="240" w:lineRule="atLeast"/>
              <w:rPr>
                <w:rFonts w:eastAsia="仿宋"/>
                <w:color w:val="000000"/>
                <w:sz w:val="24"/>
              </w:rPr>
            </w:pPr>
            <w:r w:rsidRPr="00457BA9">
              <w:rPr>
                <w:rFonts w:eastAsia="仿宋"/>
                <w:color w:val="000000"/>
                <w:sz w:val="24"/>
              </w:rPr>
              <w:t>I</w:t>
            </w:r>
          </w:p>
        </w:tc>
        <w:tc>
          <w:tcPr>
            <w:tcW w:w="1227" w:type="dxa"/>
            <w:vAlign w:val="center"/>
          </w:tcPr>
          <w:p w:rsidR="00F55F1C" w:rsidRPr="00457BA9" w:rsidRDefault="00F55F1C" w:rsidP="00A0600A">
            <w:pPr>
              <w:autoSpaceDE w:val="0"/>
              <w:autoSpaceDN w:val="0"/>
              <w:adjustRightInd w:val="0"/>
              <w:snapToGrid w:val="0"/>
              <w:spacing w:line="240" w:lineRule="atLeast"/>
              <w:rPr>
                <w:rFonts w:eastAsia="仿宋"/>
                <w:color w:val="000000"/>
                <w:sz w:val="24"/>
              </w:rPr>
            </w:pPr>
            <w:r w:rsidRPr="00457BA9">
              <w:rPr>
                <w:rFonts w:eastAsia="仿宋" w:hint="eastAsia"/>
                <w:color w:val="000000"/>
                <w:sz w:val="24"/>
              </w:rPr>
              <w:t>1</w:t>
            </w:r>
          </w:p>
        </w:tc>
        <w:tc>
          <w:tcPr>
            <w:tcW w:w="1095" w:type="dxa"/>
            <w:vAlign w:val="center"/>
          </w:tcPr>
          <w:p w:rsidR="00F55F1C" w:rsidRPr="00457BA9" w:rsidRDefault="00F55F1C" w:rsidP="00A0600A">
            <w:pPr>
              <w:autoSpaceDE w:val="0"/>
              <w:autoSpaceDN w:val="0"/>
              <w:adjustRightInd w:val="0"/>
              <w:snapToGrid w:val="0"/>
              <w:spacing w:line="240" w:lineRule="atLeast"/>
              <w:rPr>
                <w:rFonts w:eastAsia="仿宋"/>
                <w:color w:val="000000"/>
                <w:sz w:val="24"/>
              </w:rPr>
            </w:pPr>
            <w:r w:rsidRPr="00457BA9">
              <w:rPr>
                <w:rFonts w:eastAsia="仿宋" w:hint="eastAsia"/>
                <w:color w:val="000000"/>
                <w:sz w:val="24"/>
              </w:rPr>
              <w:t>1</w:t>
            </w:r>
          </w:p>
        </w:tc>
      </w:tr>
      <w:tr w:rsidR="00F55F1C" w:rsidRPr="007D69D1" w:rsidTr="00A0600A">
        <w:trPr>
          <w:trHeight w:val="637"/>
          <w:jc w:val="center"/>
        </w:trPr>
        <w:tc>
          <w:tcPr>
            <w:tcW w:w="2262" w:type="dxa"/>
            <w:vAlign w:val="center"/>
          </w:tcPr>
          <w:p w:rsidR="00F55F1C" w:rsidRPr="007D69D1" w:rsidRDefault="00F55F1C" w:rsidP="00A0600A">
            <w:pPr>
              <w:autoSpaceDE w:val="0"/>
              <w:autoSpaceDN w:val="0"/>
              <w:adjustRightInd w:val="0"/>
              <w:snapToGrid w:val="0"/>
              <w:spacing w:line="240" w:lineRule="atLeast"/>
              <w:rPr>
                <w:rFonts w:ascii="仿宋" w:eastAsia="仿宋" w:hAnsi="仿宋"/>
                <w:bCs/>
                <w:kern w:val="0"/>
                <w:sz w:val="24"/>
              </w:rPr>
            </w:pPr>
            <w:r w:rsidRPr="007D69D1">
              <w:rPr>
                <w:rFonts w:ascii="仿宋" w:eastAsia="仿宋" w:hAnsi="仿宋" w:hint="eastAsia"/>
                <w:bCs/>
                <w:kern w:val="0"/>
                <w:sz w:val="24"/>
              </w:rPr>
              <w:lastRenderedPageBreak/>
              <w:t>注射</w:t>
            </w:r>
          </w:p>
        </w:tc>
        <w:tc>
          <w:tcPr>
            <w:tcW w:w="1470" w:type="dxa"/>
            <w:vAlign w:val="center"/>
          </w:tcPr>
          <w:p w:rsidR="00F55F1C" w:rsidRPr="00457BA9" w:rsidRDefault="00F55F1C" w:rsidP="00A0600A">
            <w:pPr>
              <w:autoSpaceDE w:val="0"/>
              <w:autoSpaceDN w:val="0"/>
              <w:adjustRightInd w:val="0"/>
              <w:snapToGrid w:val="0"/>
              <w:spacing w:line="240" w:lineRule="atLeast"/>
              <w:rPr>
                <w:rFonts w:eastAsia="仿宋"/>
                <w:color w:val="000000"/>
                <w:sz w:val="24"/>
              </w:rPr>
            </w:pPr>
            <w:r w:rsidRPr="00457BA9">
              <w:rPr>
                <w:rFonts w:eastAsia="仿宋"/>
                <w:color w:val="000000"/>
                <w:sz w:val="24"/>
              </w:rPr>
              <w:t xml:space="preserve">I Class </w:t>
            </w:r>
            <w:r w:rsidRPr="00457BA9">
              <w:rPr>
                <w:rFonts w:eastAsia="仿宋" w:hint="eastAsia"/>
                <w:color w:val="000000"/>
                <w:sz w:val="24"/>
              </w:rPr>
              <w:t>B</w:t>
            </w:r>
          </w:p>
        </w:tc>
        <w:tc>
          <w:tcPr>
            <w:tcW w:w="1239" w:type="dxa"/>
            <w:vAlign w:val="center"/>
          </w:tcPr>
          <w:p w:rsidR="00F55F1C" w:rsidRPr="00457BA9" w:rsidRDefault="00F55F1C" w:rsidP="00A0600A">
            <w:pPr>
              <w:autoSpaceDE w:val="0"/>
              <w:autoSpaceDN w:val="0"/>
              <w:adjustRightInd w:val="0"/>
              <w:snapToGrid w:val="0"/>
              <w:spacing w:line="240" w:lineRule="atLeast"/>
              <w:rPr>
                <w:rFonts w:eastAsia="仿宋"/>
                <w:color w:val="000000"/>
                <w:sz w:val="24"/>
              </w:rPr>
            </w:pPr>
            <w:r w:rsidRPr="00457BA9">
              <w:rPr>
                <w:rFonts w:eastAsia="仿宋" w:hint="eastAsia"/>
                <w:color w:val="000000"/>
                <w:sz w:val="24"/>
              </w:rPr>
              <w:t>1</w:t>
            </w:r>
          </w:p>
        </w:tc>
        <w:tc>
          <w:tcPr>
            <w:tcW w:w="1229" w:type="dxa"/>
            <w:vAlign w:val="center"/>
          </w:tcPr>
          <w:p w:rsidR="00F55F1C" w:rsidRPr="00457BA9" w:rsidRDefault="00F55F1C" w:rsidP="00A0600A">
            <w:pPr>
              <w:autoSpaceDE w:val="0"/>
              <w:autoSpaceDN w:val="0"/>
              <w:adjustRightInd w:val="0"/>
              <w:snapToGrid w:val="0"/>
              <w:spacing w:line="240" w:lineRule="atLeast"/>
              <w:rPr>
                <w:rFonts w:eastAsia="仿宋"/>
                <w:color w:val="000000"/>
                <w:sz w:val="24"/>
              </w:rPr>
            </w:pPr>
            <w:r w:rsidRPr="00457BA9">
              <w:rPr>
                <w:rFonts w:eastAsia="仿宋"/>
                <w:color w:val="000000"/>
                <w:sz w:val="24"/>
              </w:rPr>
              <w:t>I</w:t>
            </w:r>
          </w:p>
        </w:tc>
        <w:tc>
          <w:tcPr>
            <w:tcW w:w="1227" w:type="dxa"/>
            <w:vAlign w:val="center"/>
          </w:tcPr>
          <w:p w:rsidR="00F55F1C" w:rsidRPr="00457BA9" w:rsidRDefault="00F55F1C" w:rsidP="00A0600A">
            <w:pPr>
              <w:autoSpaceDE w:val="0"/>
              <w:autoSpaceDN w:val="0"/>
              <w:adjustRightInd w:val="0"/>
              <w:snapToGrid w:val="0"/>
              <w:spacing w:line="240" w:lineRule="atLeast"/>
              <w:rPr>
                <w:rFonts w:eastAsia="仿宋"/>
                <w:color w:val="000000"/>
                <w:sz w:val="24"/>
              </w:rPr>
            </w:pPr>
            <w:r w:rsidRPr="00457BA9">
              <w:rPr>
                <w:rFonts w:eastAsia="仿宋" w:hint="eastAsia"/>
                <w:color w:val="000000"/>
                <w:sz w:val="24"/>
              </w:rPr>
              <w:t>1</w:t>
            </w:r>
          </w:p>
        </w:tc>
        <w:tc>
          <w:tcPr>
            <w:tcW w:w="1095" w:type="dxa"/>
            <w:vAlign w:val="center"/>
          </w:tcPr>
          <w:p w:rsidR="00F55F1C" w:rsidRPr="00457BA9" w:rsidRDefault="00F55F1C" w:rsidP="00A0600A">
            <w:pPr>
              <w:autoSpaceDE w:val="0"/>
              <w:autoSpaceDN w:val="0"/>
              <w:adjustRightInd w:val="0"/>
              <w:snapToGrid w:val="0"/>
              <w:spacing w:line="240" w:lineRule="atLeast"/>
              <w:rPr>
                <w:rFonts w:eastAsia="仿宋"/>
                <w:color w:val="000000"/>
                <w:sz w:val="24"/>
              </w:rPr>
            </w:pPr>
            <w:r w:rsidRPr="00457BA9">
              <w:rPr>
                <w:rFonts w:eastAsia="仿宋" w:hint="eastAsia"/>
                <w:color w:val="000000"/>
                <w:sz w:val="24"/>
              </w:rPr>
              <w:t>1</w:t>
            </w:r>
          </w:p>
        </w:tc>
      </w:tr>
      <w:tr w:rsidR="00F55F1C" w:rsidRPr="007D69D1" w:rsidTr="00A0600A">
        <w:trPr>
          <w:trHeight w:val="736"/>
          <w:jc w:val="center"/>
        </w:trPr>
        <w:tc>
          <w:tcPr>
            <w:tcW w:w="2262" w:type="dxa"/>
            <w:vAlign w:val="center"/>
          </w:tcPr>
          <w:p w:rsidR="00F55F1C" w:rsidRPr="007D69D1" w:rsidRDefault="00F55F1C" w:rsidP="00A0600A">
            <w:pPr>
              <w:autoSpaceDE w:val="0"/>
              <w:autoSpaceDN w:val="0"/>
              <w:adjustRightInd w:val="0"/>
              <w:snapToGrid w:val="0"/>
              <w:spacing w:line="240" w:lineRule="atLeast"/>
              <w:rPr>
                <w:rFonts w:ascii="仿宋" w:eastAsia="仿宋" w:hAnsi="仿宋"/>
                <w:bCs/>
                <w:kern w:val="0"/>
                <w:sz w:val="24"/>
              </w:rPr>
            </w:pPr>
            <w:r w:rsidRPr="007D69D1">
              <w:rPr>
                <w:rFonts w:ascii="仿宋" w:eastAsia="仿宋" w:hAnsi="仿宋" w:hint="eastAsia"/>
                <w:bCs/>
                <w:kern w:val="0"/>
                <w:sz w:val="24"/>
              </w:rPr>
              <w:t>口服及试剂</w:t>
            </w:r>
          </w:p>
        </w:tc>
        <w:tc>
          <w:tcPr>
            <w:tcW w:w="1470" w:type="dxa"/>
            <w:vAlign w:val="center"/>
          </w:tcPr>
          <w:p w:rsidR="00F55F1C" w:rsidRPr="00457BA9" w:rsidRDefault="00F55F1C" w:rsidP="00A0600A">
            <w:pPr>
              <w:autoSpaceDE w:val="0"/>
              <w:autoSpaceDN w:val="0"/>
              <w:adjustRightInd w:val="0"/>
              <w:snapToGrid w:val="0"/>
              <w:spacing w:line="240" w:lineRule="atLeast"/>
              <w:rPr>
                <w:rFonts w:eastAsia="仿宋"/>
                <w:color w:val="000000"/>
                <w:sz w:val="24"/>
              </w:rPr>
            </w:pPr>
            <w:r w:rsidRPr="00457BA9">
              <w:rPr>
                <w:rFonts w:eastAsia="仿宋"/>
                <w:color w:val="000000"/>
                <w:sz w:val="24"/>
              </w:rPr>
              <w:t>II Class</w:t>
            </w:r>
          </w:p>
        </w:tc>
        <w:tc>
          <w:tcPr>
            <w:tcW w:w="1239" w:type="dxa"/>
            <w:vAlign w:val="center"/>
          </w:tcPr>
          <w:p w:rsidR="00F55F1C" w:rsidRPr="00457BA9" w:rsidRDefault="00F55F1C" w:rsidP="00A0600A">
            <w:pPr>
              <w:autoSpaceDE w:val="0"/>
              <w:autoSpaceDN w:val="0"/>
              <w:adjustRightInd w:val="0"/>
              <w:snapToGrid w:val="0"/>
              <w:spacing w:line="240" w:lineRule="atLeast"/>
              <w:rPr>
                <w:rFonts w:eastAsia="仿宋"/>
                <w:color w:val="000000"/>
                <w:sz w:val="24"/>
              </w:rPr>
            </w:pPr>
            <w:r w:rsidRPr="00457BA9">
              <w:rPr>
                <w:rFonts w:eastAsia="仿宋" w:hint="eastAsia"/>
                <w:color w:val="000000"/>
                <w:sz w:val="24"/>
              </w:rPr>
              <w:t>2</w:t>
            </w:r>
          </w:p>
        </w:tc>
        <w:tc>
          <w:tcPr>
            <w:tcW w:w="1229" w:type="dxa"/>
            <w:vAlign w:val="center"/>
          </w:tcPr>
          <w:p w:rsidR="00F55F1C" w:rsidRPr="00457BA9" w:rsidRDefault="00F55F1C" w:rsidP="00A0600A">
            <w:pPr>
              <w:autoSpaceDE w:val="0"/>
              <w:autoSpaceDN w:val="0"/>
              <w:adjustRightInd w:val="0"/>
              <w:snapToGrid w:val="0"/>
              <w:spacing w:line="240" w:lineRule="atLeast"/>
              <w:rPr>
                <w:rFonts w:eastAsia="仿宋"/>
                <w:color w:val="000000"/>
                <w:sz w:val="24"/>
              </w:rPr>
            </w:pPr>
            <w:r w:rsidRPr="00457BA9">
              <w:rPr>
                <w:rFonts w:eastAsia="仿宋"/>
                <w:color w:val="000000"/>
                <w:sz w:val="24"/>
              </w:rPr>
              <w:t>II</w:t>
            </w:r>
          </w:p>
        </w:tc>
        <w:tc>
          <w:tcPr>
            <w:tcW w:w="1227" w:type="dxa"/>
            <w:vAlign w:val="center"/>
          </w:tcPr>
          <w:p w:rsidR="00F55F1C" w:rsidRPr="00457BA9" w:rsidRDefault="00F55F1C" w:rsidP="00A0600A">
            <w:pPr>
              <w:autoSpaceDE w:val="0"/>
              <w:autoSpaceDN w:val="0"/>
              <w:adjustRightInd w:val="0"/>
              <w:snapToGrid w:val="0"/>
              <w:spacing w:line="240" w:lineRule="atLeast"/>
              <w:rPr>
                <w:rFonts w:eastAsia="仿宋"/>
                <w:color w:val="000000"/>
                <w:sz w:val="24"/>
              </w:rPr>
            </w:pPr>
            <w:r w:rsidRPr="00457BA9">
              <w:rPr>
                <w:rFonts w:eastAsia="仿宋" w:hint="eastAsia"/>
                <w:color w:val="000000"/>
                <w:sz w:val="24"/>
              </w:rPr>
              <w:t>2</w:t>
            </w:r>
          </w:p>
        </w:tc>
        <w:tc>
          <w:tcPr>
            <w:tcW w:w="1095" w:type="dxa"/>
            <w:vAlign w:val="center"/>
          </w:tcPr>
          <w:p w:rsidR="00F55F1C" w:rsidRPr="00457BA9" w:rsidRDefault="00F55F1C" w:rsidP="00A0600A">
            <w:pPr>
              <w:autoSpaceDE w:val="0"/>
              <w:autoSpaceDN w:val="0"/>
              <w:adjustRightInd w:val="0"/>
              <w:snapToGrid w:val="0"/>
              <w:spacing w:line="240" w:lineRule="atLeast"/>
              <w:rPr>
                <w:rFonts w:eastAsia="仿宋"/>
                <w:color w:val="000000"/>
                <w:sz w:val="24"/>
              </w:rPr>
            </w:pPr>
            <w:r w:rsidRPr="00457BA9">
              <w:rPr>
                <w:rFonts w:eastAsia="仿宋" w:hint="eastAsia"/>
                <w:color w:val="000000"/>
                <w:sz w:val="24"/>
              </w:rPr>
              <w:t>2</w:t>
            </w:r>
          </w:p>
        </w:tc>
      </w:tr>
      <w:tr w:rsidR="00F55F1C" w:rsidRPr="007D69D1" w:rsidTr="00A0600A">
        <w:trPr>
          <w:trHeight w:val="566"/>
          <w:jc w:val="center"/>
        </w:trPr>
        <w:tc>
          <w:tcPr>
            <w:tcW w:w="2262" w:type="dxa"/>
            <w:vAlign w:val="center"/>
          </w:tcPr>
          <w:p w:rsidR="00F55F1C" w:rsidRPr="007D69D1" w:rsidRDefault="00F55F1C" w:rsidP="00A0600A">
            <w:pPr>
              <w:autoSpaceDE w:val="0"/>
              <w:autoSpaceDN w:val="0"/>
              <w:adjustRightInd w:val="0"/>
              <w:snapToGrid w:val="0"/>
              <w:spacing w:line="240" w:lineRule="atLeast"/>
              <w:rPr>
                <w:rFonts w:ascii="仿宋" w:eastAsia="仿宋" w:hAnsi="仿宋"/>
                <w:bCs/>
                <w:kern w:val="0"/>
                <w:sz w:val="24"/>
              </w:rPr>
            </w:pPr>
            <w:r w:rsidRPr="007D69D1">
              <w:rPr>
                <w:rFonts w:ascii="仿宋" w:eastAsia="仿宋" w:hAnsi="仿宋" w:hint="eastAsia"/>
                <w:bCs/>
                <w:kern w:val="0"/>
                <w:sz w:val="24"/>
              </w:rPr>
              <w:t>干粉及油剂</w:t>
            </w:r>
          </w:p>
        </w:tc>
        <w:tc>
          <w:tcPr>
            <w:tcW w:w="1470" w:type="dxa"/>
            <w:vAlign w:val="center"/>
          </w:tcPr>
          <w:p w:rsidR="00F55F1C" w:rsidRPr="00457BA9" w:rsidRDefault="00F55F1C" w:rsidP="00A0600A">
            <w:pPr>
              <w:autoSpaceDE w:val="0"/>
              <w:autoSpaceDN w:val="0"/>
              <w:adjustRightInd w:val="0"/>
              <w:snapToGrid w:val="0"/>
              <w:spacing w:line="240" w:lineRule="atLeast"/>
              <w:rPr>
                <w:rFonts w:eastAsia="仿宋"/>
                <w:color w:val="000000"/>
                <w:sz w:val="24"/>
              </w:rPr>
            </w:pPr>
            <w:r w:rsidRPr="00457BA9">
              <w:rPr>
                <w:rFonts w:eastAsia="仿宋"/>
                <w:color w:val="000000"/>
                <w:sz w:val="24"/>
              </w:rPr>
              <w:t>III Class A</w:t>
            </w:r>
          </w:p>
        </w:tc>
        <w:tc>
          <w:tcPr>
            <w:tcW w:w="1239" w:type="dxa"/>
            <w:vAlign w:val="center"/>
          </w:tcPr>
          <w:p w:rsidR="00F55F1C" w:rsidRPr="00457BA9" w:rsidRDefault="00F55F1C" w:rsidP="00A0600A">
            <w:pPr>
              <w:autoSpaceDE w:val="0"/>
              <w:autoSpaceDN w:val="0"/>
              <w:adjustRightInd w:val="0"/>
              <w:snapToGrid w:val="0"/>
              <w:spacing w:line="240" w:lineRule="atLeast"/>
              <w:rPr>
                <w:rFonts w:eastAsia="仿宋"/>
                <w:color w:val="000000"/>
                <w:sz w:val="24"/>
              </w:rPr>
            </w:pPr>
            <w:r w:rsidRPr="00457BA9">
              <w:rPr>
                <w:rFonts w:eastAsia="仿宋" w:hint="eastAsia"/>
                <w:color w:val="000000"/>
                <w:sz w:val="24"/>
              </w:rPr>
              <w:t>2</w:t>
            </w:r>
          </w:p>
        </w:tc>
        <w:tc>
          <w:tcPr>
            <w:tcW w:w="1229" w:type="dxa"/>
            <w:vAlign w:val="center"/>
          </w:tcPr>
          <w:p w:rsidR="00F55F1C" w:rsidRPr="00457BA9" w:rsidRDefault="00F55F1C" w:rsidP="00A0600A">
            <w:pPr>
              <w:autoSpaceDE w:val="0"/>
              <w:autoSpaceDN w:val="0"/>
              <w:adjustRightInd w:val="0"/>
              <w:snapToGrid w:val="0"/>
              <w:spacing w:line="240" w:lineRule="atLeast"/>
              <w:rPr>
                <w:rFonts w:eastAsia="仿宋"/>
                <w:color w:val="000000"/>
                <w:sz w:val="24"/>
              </w:rPr>
            </w:pPr>
            <w:r w:rsidRPr="00457BA9">
              <w:rPr>
                <w:rFonts w:eastAsia="仿宋"/>
                <w:color w:val="000000"/>
                <w:sz w:val="24"/>
              </w:rPr>
              <w:t>III</w:t>
            </w:r>
          </w:p>
        </w:tc>
        <w:tc>
          <w:tcPr>
            <w:tcW w:w="1227" w:type="dxa"/>
            <w:vAlign w:val="center"/>
          </w:tcPr>
          <w:p w:rsidR="00F55F1C" w:rsidRPr="00457BA9" w:rsidRDefault="00F55F1C" w:rsidP="00A0600A">
            <w:pPr>
              <w:autoSpaceDE w:val="0"/>
              <w:autoSpaceDN w:val="0"/>
              <w:adjustRightInd w:val="0"/>
              <w:snapToGrid w:val="0"/>
              <w:spacing w:line="240" w:lineRule="atLeast"/>
              <w:rPr>
                <w:rFonts w:eastAsia="仿宋"/>
                <w:color w:val="000000"/>
                <w:sz w:val="24"/>
              </w:rPr>
            </w:pPr>
            <w:r w:rsidRPr="00457BA9">
              <w:rPr>
                <w:rFonts w:eastAsia="仿宋" w:hint="eastAsia"/>
                <w:color w:val="000000"/>
                <w:sz w:val="24"/>
              </w:rPr>
              <w:t>2</w:t>
            </w:r>
          </w:p>
        </w:tc>
        <w:tc>
          <w:tcPr>
            <w:tcW w:w="1095" w:type="dxa"/>
            <w:vAlign w:val="center"/>
          </w:tcPr>
          <w:p w:rsidR="00F55F1C" w:rsidRPr="00457BA9" w:rsidRDefault="00F55F1C" w:rsidP="00A0600A">
            <w:pPr>
              <w:autoSpaceDE w:val="0"/>
              <w:autoSpaceDN w:val="0"/>
              <w:adjustRightInd w:val="0"/>
              <w:snapToGrid w:val="0"/>
              <w:spacing w:line="240" w:lineRule="atLeast"/>
              <w:rPr>
                <w:rFonts w:eastAsia="仿宋"/>
                <w:color w:val="000000"/>
                <w:sz w:val="24"/>
              </w:rPr>
            </w:pPr>
            <w:r w:rsidRPr="00457BA9">
              <w:rPr>
                <w:rFonts w:eastAsia="仿宋" w:hint="eastAsia"/>
                <w:color w:val="000000"/>
                <w:sz w:val="24"/>
              </w:rPr>
              <w:t>2</w:t>
            </w:r>
          </w:p>
        </w:tc>
      </w:tr>
    </w:tbl>
    <w:p w:rsidR="00F55F1C" w:rsidRDefault="00F55F1C" w:rsidP="00F55F1C">
      <w:pPr>
        <w:autoSpaceDE w:val="0"/>
        <w:autoSpaceDN w:val="0"/>
        <w:adjustRightInd w:val="0"/>
        <w:snapToGrid w:val="0"/>
        <w:spacing w:line="240" w:lineRule="atLeast"/>
        <w:rPr>
          <w:rFonts w:ascii="仿宋" w:eastAsia="仿宋" w:hAnsi="仿宋"/>
          <w:kern w:val="0"/>
          <w:sz w:val="24"/>
        </w:rPr>
      </w:pPr>
    </w:p>
    <w:p w:rsidR="00F55F1C" w:rsidRDefault="00F55F1C" w:rsidP="00F55F1C">
      <w:pPr>
        <w:autoSpaceDE w:val="0"/>
        <w:autoSpaceDN w:val="0"/>
        <w:adjustRightInd w:val="0"/>
        <w:snapToGrid w:val="0"/>
        <w:spacing w:line="240" w:lineRule="atLeast"/>
        <w:rPr>
          <w:rFonts w:ascii="仿宋" w:eastAsia="仿宋" w:hAnsi="仿宋"/>
          <w:kern w:val="0"/>
          <w:sz w:val="24"/>
        </w:rPr>
      </w:pPr>
    </w:p>
    <w:p w:rsidR="00F55F1C" w:rsidRPr="007D69D1" w:rsidRDefault="00F55F1C" w:rsidP="00F55F1C">
      <w:pPr>
        <w:autoSpaceDE w:val="0"/>
        <w:autoSpaceDN w:val="0"/>
        <w:adjustRightInd w:val="0"/>
        <w:snapToGrid w:val="0"/>
        <w:spacing w:line="240" w:lineRule="atLeast"/>
        <w:rPr>
          <w:rFonts w:ascii="仿宋" w:eastAsia="仿宋" w:hAnsi="仿宋"/>
          <w:kern w:val="0"/>
          <w:sz w:val="24"/>
        </w:rPr>
      </w:pPr>
    </w:p>
    <w:p w:rsidR="00F55F1C" w:rsidRPr="00457BA9" w:rsidRDefault="00F55F1C" w:rsidP="00F55F1C">
      <w:pPr>
        <w:autoSpaceDE w:val="0"/>
        <w:autoSpaceDN w:val="0"/>
        <w:adjustRightInd w:val="0"/>
        <w:snapToGrid w:val="0"/>
        <w:spacing w:line="360" w:lineRule="auto"/>
        <w:jc w:val="center"/>
        <w:rPr>
          <w:rFonts w:eastAsia="楷体_GB2312"/>
          <w:bCs/>
          <w:kern w:val="0"/>
          <w:sz w:val="32"/>
          <w:szCs w:val="32"/>
        </w:rPr>
      </w:pPr>
      <w:r w:rsidRPr="00457BA9">
        <w:rPr>
          <w:rFonts w:eastAsia="楷体_GB2312" w:hint="eastAsia"/>
          <w:bCs/>
          <w:kern w:val="0"/>
          <w:sz w:val="32"/>
          <w:szCs w:val="32"/>
        </w:rPr>
        <w:t>附件</w:t>
      </w:r>
      <w:r w:rsidRPr="00457BA9">
        <w:rPr>
          <w:rFonts w:eastAsia="楷体_GB2312" w:hint="eastAsia"/>
          <w:bCs/>
          <w:kern w:val="0"/>
          <w:sz w:val="32"/>
          <w:szCs w:val="32"/>
        </w:rPr>
        <w:t>3</w:t>
      </w:r>
      <w:r w:rsidRPr="00457BA9">
        <w:rPr>
          <w:rFonts w:eastAsia="楷体_GB2312" w:hint="eastAsia"/>
          <w:bCs/>
          <w:kern w:val="0"/>
          <w:sz w:val="32"/>
          <w:szCs w:val="32"/>
        </w:rPr>
        <w:t>：影响玻璃内表面耐受性的因素</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268"/>
        <w:gridCol w:w="4536"/>
      </w:tblGrid>
      <w:tr w:rsidR="00F55F1C" w:rsidRPr="007D69D1" w:rsidTr="00A0600A">
        <w:trPr>
          <w:trHeight w:val="2576"/>
          <w:jc w:val="center"/>
        </w:trPr>
        <w:tc>
          <w:tcPr>
            <w:tcW w:w="1951" w:type="dxa"/>
            <w:vAlign w:val="center"/>
          </w:tcPr>
          <w:p w:rsidR="00F55F1C" w:rsidRPr="007D69D1" w:rsidRDefault="00F55F1C" w:rsidP="00A0600A">
            <w:pPr>
              <w:adjustRightInd w:val="0"/>
              <w:spacing w:line="480" w:lineRule="exact"/>
              <w:jc w:val="center"/>
              <w:rPr>
                <w:rFonts w:ascii="仿宋" w:eastAsia="仿宋" w:hAnsi="仿宋"/>
                <w:sz w:val="24"/>
              </w:rPr>
            </w:pPr>
            <w:r w:rsidRPr="007D69D1">
              <w:rPr>
                <w:rFonts w:ascii="仿宋" w:eastAsia="仿宋" w:hAnsi="仿宋" w:hint="eastAsia"/>
                <w:kern w:val="0"/>
                <w:sz w:val="24"/>
              </w:rPr>
              <w:t>玻璃容器的组成成分、生产工艺</w:t>
            </w:r>
          </w:p>
        </w:tc>
        <w:tc>
          <w:tcPr>
            <w:tcW w:w="2268" w:type="dxa"/>
            <w:vAlign w:val="center"/>
          </w:tcPr>
          <w:p w:rsidR="00F55F1C" w:rsidRPr="007D69D1" w:rsidRDefault="00F55F1C" w:rsidP="00A0600A">
            <w:pPr>
              <w:adjustRightInd w:val="0"/>
              <w:spacing w:line="480" w:lineRule="exact"/>
              <w:jc w:val="center"/>
              <w:rPr>
                <w:rFonts w:ascii="仿宋" w:eastAsia="仿宋" w:hAnsi="仿宋"/>
                <w:sz w:val="24"/>
              </w:rPr>
            </w:pPr>
            <w:r w:rsidRPr="007D69D1">
              <w:rPr>
                <w:rFonts w:ascii="仿宋" w:eastAsia="仿宋" w:hAnsi="仿宋" w:hint="eastAsia"/>
                <w:kern w:val="0"/>
                <w:sz w:val="24"/>
              </w:rPr>
              <w:t>玻璃容器</w:t>
            </w:r>
            <w:r w:rsidRPr="007D69D1">
              <w:rPr>
                <w:rFonts w:ascii="仿宋" w:eastAsia="仿宋" w:hAnsi="仿宋" w:hint="eastAsia"/>
                <w:sz w:val="24"/>
              </w:rPr>
              <w:t>成型后的处理</w:t>
            </w:r>
            <w:r w:rsidRPr="007D69D1">
              <w:rPr>
                <w:rFonts w:ascii="仿宋" w:eastAsia="仿宋" w:hAnsi="仿宋" w:hint="eastAsia"/>
                <w:kern w:val="0"/>
                <w:sz w:val="24"/>
              </w:rPr>
              <w:t>工艺以及</w:t>
            </w:r>
            <w:r w:rsidRPr="007D69D1">
              <w:rPr>
                <w:rFonts w:ascii="仿宋" w:eastAsia="仿宋" w:hAnsi="仿宋" w:hint="eastAsia"/>
                <w:sz w:val="24"/>
              </w:rPr>
              <w:t>储存条件</w:t>
            </w:r>
          </w:p>
        </w:tc>
        <w:tc>
          <w:tcPr>
            <w:tcW w:w="4536" w:type="dxa"/>
            <w:vAlign w:val="center"/>
          </w:tcPr>
          <w:p w:rsidR="00F55F1C" w:rsidRPr="007D69D1" w:rsidRDefault="00F55F1C" w:rsidP="00A0600A">
            <w:pPr>
              <w:adjustRightInd w:val="0"/>
              <w:spacing w:line="480" w:lineRule="exact"/>
              <w:jc w:val="center"/>
              <w:rPr>
                <w:rFonts w:ascii="仿宋" w:eastAsia="仿宋" w:hAnsi="仿宋"/>
                <w:sz w:val="24"/>
              </w:rPr>
            </w:pPr>
            <w:r w:rsidRPr="007D69D1">
              <w:rPr>
                <w:rFonts w:ascii="仿宋" w:eastAsia="仿宋" w:hAnsi="仿宋" w:hint="eastAsia"/>
                <w:sz w:val="24"/>
              </w:rPr>
              <w:t>药物</w:t>
            </w:r>
          </w:p>
        </w:tc>
      </w:tr>
      <w:tr w:rsidR="00F55F1C" w:rsidRPr="007D69D1" w:rsidTr="00A0600A">
        <w:trPr>
          <w:trHeight w:val="5952"/>
          <w:jc w:val="center"/>
        </w:trPr>
        <w:tc>
          <w:tcPr>
            <w:tcW w:w="1951" w:type="dxa"/>
          </w:tcPr>
          <w:p w:rsidR="00F55F1C" w:rsidRPr="007D69D1" w:rsidRDefault="00F55F1C" w:rsidP="00A0600A">
            <w:pPr>
              <w:adjustRightInd w:val="0"/>
              <w:spacing w:line="480" w:lineRule="exact"/>
              <w:jc w:val="left"/>
              <w:rPr>
                <w:rFonts w:ascii="仿宋" w:eastAsia="仿宋" w:hAnsi="仿宋"/>
                <w:sz w:val="24"/>
              </w:rPr>
            </w:pPr>
            <w:r w:rsidRPr="007D69D1">
              <w:rPr>
                <w:rFonts w:ascii="仿宋" w:eastAsia="仿宋" w:hAnsi="仿宋" w:hint="eastAsia"/>
                <w:sz w:val="24"/>
              </w:rPr>
              <w:t>·玻璃组成</w:t>
            </w:r>
          </w:p>
          <w:p w:rsidR="00F55F1C" w:rsidRPr="007D69D1" w:rsidRDefault="00F55F1C" w:rsidP="00A0600A">
            <w:pPr>
              <w:adjustRightInd w:val="0"/>
              <w:spacing w:line="480" w:lineRule="exact"/>
              <w:jc w:val="left"/>
              <w:rPr>
                <w:rFonts w:ascii="仿宋" w:eastAsia="仿宋" w:hAnsi="仿宋"/>
                <w:sz w:val="24"/>
              </w:rPr>
            </w:pPr>
            <w:r w:rsidRPr="007D69D1">
              <w:rPr>
                <w:rFonts w:ascii="仿宋" w:eastAsia="仿宋" w:hAnsi="仿宋" w:hint="eastAsia"/>
                <w:sz w:val="24"/>
              </w:rPr>
              <w:t>·模</w:t>
            </w:r>
            <w:proofErr w:type="gramStart"/>
            <w:r w:rsidRPr="007D69D1">
              <w:rPr>
                <w:rFonts w:ascii="仿宋" w:eastAsia="仿宋" w:hAnsi="仿宋" w:hint="eastAsia"/>
                <w:sz w:val="24"/>
              </w:rPr>
              <w:t>制或者</w:t>
            </w:r>
            <w:proofErr w:type="gramEnd"/>
            <w:r w:rsidRPr="007D69D1">
              <w:rPr>
                <w:rFonts w:ascii="仿宋" w:eastAsia="仿宋" w:hAnsi="仿宋" w:hint="eastAsia"/>
                <w:sz w:val="24"/>
              </w:rPr>
              <w:t>管制制备工艺</w:t>
            </w:r>
          </w:p>
          <w:p w:rsidR="00F55F1C" w:rsidRPr="007D69D1" w:rsidRDefault="00F55F1C" w:rsidP="00A0600A">
            <w:pPr>
              <w:adjustRightInd w:val="0"/>
              <w:spacing w:line="480" w:lineRule="exact"/>
              <w:jc w:val="left"/>
              <w:rPr>
                <w:rFonts w:ascii="仿宋" w:eastAsia="仿宋" w:hAnsi="仿宋"/>
                <w:sz w:val="24"/>
              </w:rPr>
            </w:pPr>
            <w:r w:rsidRPr="007D69D1">
              <w:rPr>
                <w:rFonts w:ascii="仿宋" w:eastAsia="仿宋" w:hAnsi="仿宋" w:hint="eastAsia"/>
                <w:sz w:val="24"/>
              </w:rPr>
              <w:t>·生产过程：</w:t>
            </w:r>
          </w:p>
          <w:p w:rsidR="00F55F1C" w:rsidRPr="007D69D1" w:rsidRDefault="00F55F1C" w:rsidP="00A0600A">
            <w:pPr>
              <w:adjustRightInd w:val="0"/>
              <w:spacing w:line="480" w:lineRule="exact"/>
              <w:ind w:firstLineChars="100" w:firstLine="240"/>
              <w:jc w:val="left"/>
              <w:rPr>
                <w:rFonts w:ascii="仿宋" w:eastAsia="仿宋" w:hAnsi="仿宋"/>
                <w:sz w:val="24"/>
              </w:rPr>
            </w:pPr>
            <w:r w:rsidRPr="007D69D1">
              <w:rPr>
                <w:rFonts w:ascii="仿宋" w:eastAsia="仿宋" w:hAnsi="仿宋"/>
                <w:sz w:val="24"/>
              </w:rPr>
              <w:t>-</w:t>
            </w:r>
            <w:r w:rsidRPr="007D69D1">
              <w:rPr>
                <w:rFonts w:ascii="仿宋" w:eastAsia="仿宋" w:hAnsi="仿宋" w:hint="eastAsia"/>
                <w:sz w:val="24"/>
              </w:rPr>
              <w:t>成型速度</w:t>
            </w:r>
          </w:p>
          <w:p w:rsidR="00F55F1C" w:rsidRPr="007D69D1" w:rsidRDefault="00F55F1C" w:rsidP="00A0600A">
            <w:pPr>
              <w:adjustRightInd w:val="0"/>
              <w:spacing w:line="480" w:lineRule="exact"/>
              <w:ind w:firstLineChars="100" w:firstLine="240"/>
              <w:jc w:val="left"/>
              <w:rPr>
                <w:rFonts w:ascii="仿宋" w:eastAsia="仿宋" w:hAnsi="仿宋"/>
                <w:sz w:val="24"/>
              </w:rPr>
            </w:pPr>
            <w:r w:rsidRPr="007D69D1">
              <w:rPr>
                <w:rFonts w:ascii="仿宋" w:eastAsia="仿宋" w:hAnsi="仿宋"/>
                <w:sz w:val="24"/>
              </w:rPr>
              <w:t>-</w:t>
            </w:r>
            <w:r w:rsidRPr="007D69D1">
              <w:rPr>
                <w:rFonts w:ascii="仿宋" w:eastAsia="仿宋" w:hAnsi="仿宋" w:hint="eastAsia"/>
                <w:sz w:val="24"/>
              </w:rPr>
              <w:t>成型温度</w:t>
            </w:r>
          </w:p>
          <w:p w:rsidR="00F55F1C" w:rsidRPr="007D69D1" w:rsidRDefault="00F55F1C" w:rsidP="00A0600A">
            <w:pPr>
              <w:adjustRightInd w:val="0"/>
              <w:spacing w:line="480" w:lineRule="exact"/>
              <w:jc w:val="left"/>
              <w:rPr>
                <w:rFonts w:ascii="仿宋" w:eastAsia="仿宋" w:hAnsi="仿宋"/>
                <w:sz w:val="24"/>
              </w:rPr>
            </w:pPr>
          </w:p>
        </w:tc>
        <w:tc>
          <w:tcPr>
            <w:tcW w:w="2268" w:type="dxa"/>
          </w:tcPr>
          <w:p w:rsidR="00F55F1C" w:rsidRPr="007D69D1" w:rsidRDefault="00F55F1C" w:rsidP="00A0600A">
            <w:pPr>
              <w:adjustRightInd w:val="0"/>
              <w:spacing w:line="480" w:lineRule="exact"/>
              <w:jc w:val="left"/>
              <w:rPr>
                <w:rFonts w:ascii="仿宋" w:eastAsia="仿宋" w:hAnsi="仿宋"/>
                <w:sz w:val="24"/>
              </w:rPr>
            </w:pPr>
            <w:r w:rsidRPr="007D69D1">
              <w:rPr>
                <w:rFonts w:ascii="仿宋" w:eastAsia="仿宋" w:hAnsi="仿宋" w:hint="eastAsia"/>
                <w:sz w:val="24"/>
              </w:rPr>
              <w:t>·成型后的处理：</w:t>
            </w:r>
          </w:p>
          <w:p w:rsidR="00F55F1C" w:rsidRPr="007D69D1" w:rsidRDefault="00F55F1C" w:rsidP="00A0600A">
            <w:pPr>
              <w:adjustRightInd w:val="0"/>
              <w:spacing w:line="480" w:lineRule="exact"/>
              <w:jc w:val="left"/>
              <w:rPr>
                <w:rFonts w:ascii="仿宋" w:eastAsia="仿宋" w:hAnsi="仿宋"/>
                <w:sz w:val="24"/>
              </w:rPr>
            </w:pPr>
            <w:r w:rsidRPr="007D69D1">
              <w:rPr>
                <w:rFonts w:ascii="仿宋" w:eastAsia="仿宋" w:hAnsi="仿宋"/>
                <w:sz w:val="24"/>
              </w:rPr>
              <w:t xml:space="preserve">  -</w:t>
            </w:r>
            <w:r w:rsidRPr="007D69D1">
              <w:rPr>
                <w:rFonts w:ascii="仿宋" w:eastAsia="仿宋" w:hAnsi="仿宋" w:hint="eastAsia"/>
                <w:sz w:val="24"/>
              </w:rPr>
              <w:t>硫酸铵</w:t>
            </w:r>
          </w:p>
          <w:p w:rsidR="00F55F1C" w:rsidRPr="007D69D1" w:rsidRDefault="00F55F1C" w:rsidP="00A0600A">
            <w:pPr>
              <w:adjustRightInd w:val="0"/>
              <w:spacing w:line="480" w:lineRule="exact"/>
              <w:jc w:val="left"/>
              <w:rPr>
                <w:rFonts w:ascii="仿宋" w:eastAsia="仿宋" w:hAnsi="仿宋"/>
                <w:sz w:val="24"/>
              </w:rPr>
            </w:pPr>
            <w:r w:rsidRPr="007D69D1">
              <w:rPr>
                <w:rFonts w:ascii="仿宋" w:eastAsia="仿宋" w:hAnsi="仿宋" w:hint="eastAsia"/>
                <w:sz w:val="24"/>
              </w:rPr>
              <w:t>·储存条件：</w:t>
            </w:r>
          </w:p>
          <w:p w:rsidR="00F55F1C" w:rsidRPr="007D69D1" w:rsidRDefault="00F55F1C" w:rsidP="00A0600A">
            <w:pPr>
              <w:adjustRightInd w:val="0"/>
              <w:spacing w:line="480" w:lineRule="exact"/>
              <w:jc w:val="left"/>
              <w:rPr>
                <w:rFonts w:ascii="仿宋" w:eastAsia="仿宋" w:hAnsi="仿宋"/>
                <w:sz w:val="24"/>
              </w:rPr>
            </w:pPr>
            <w:r w:rsidRPr="007D69D1">
              <w:rPr>
                <w:rFonts w:ascii="仿宋" w:eastAsia="仿宋" w:hAnsi="仿宋"/>
                <w:sz w:val="24"/>
              </w:rPr>
              <w:t xml:space="preserve">  -</w:t>
            </w:r>
            <w:r w:rsidRPr="007D69D1">
              <w:rPr>
                <w:rFonts w:ascii="仿宋" w:eastAsia="仿宋" w:hAnsi="仿宋" w:hint="eastAsia"/>
                <w:sz w:val="24"/>
              </w:rPr>
              <w:t>高湿</w:t>
            </w:r>
          </w:p>
          <w:p w:rsidR="00F55F1C" w:rsidRPr="007D69D1" w:rsidRDefault="00F55F1C" w:rsidP="00A0600A">
            <w:pPr>
              <w:adjustRightInd w:val="0"/>
              <w:spacing w:line="480" w:lineRule="exact"/>
              <w:jc w:val="left"/>
              <w:rPr>
                <w:rFonts w:ascii="仿宋" w:eastAsia="仿宋" w:hAnsi="仿宋"/>
                <w:sz w:val="24"/>
              </w:rPr>
            </w:pPr>
          </w:p>
        </w:tc>
        <w:tc>
          <w:tcPr>
            <w:tcW w:w="4536" w:type="dxa"/>
          </w:tcPr>
          <w:p w:rsidR="00F55F1C" w:rsidRPr="007D69D1" w:rsidRDefault="00F55F1C" w:rsidP="00A0600A">
            <w:pPr>
              <w:adjustRightInd w:val="0"/>
              <w:spacing w:line="480" w:lineRule="exact"/>
              <w:jc w:val="left"/>
              <w:rPr>
                <w:rFonts w:ascii="仿宋" w:eastAsia="仿宋" w:hAnsi="仿宋"/>
                <w:sz w:val="24"/>
              </w:rPr>
            </w:pPr>
            <w:r w:rsidRPr="007D69D1">
              <w:rPr>
                <w:rFonts w:ascii="仿宋" w:eastAsia="仿宋" w:hAnsi="仿宋" w:hint="eastAsia"/>
                <w:sz w:val="24"/>
              </w:rPr>
              <w:t>·原料药</w:t>
            </w:r>
          </w:p>
          <w:p w:rsidR="00F55F1C" w:rsidRPr="007D69D1" w:rsidRDefault="00F55F1C" w:rsidP="00A0600A">
            <w:pPr>
              <w:adjustRightInd w:val="0"/>
              <w:spacing w:line="480" w:lineRule="exact"/>
              <w:jc w:val="left"/>
              <w:rPr>
                <w:rFonts w:ascii="仿宋" w:eastAsia="仿宋" w:hAnsi="仿宋"/>
                <w:sz w:val="24"/>
              </w:rPr>
            </w:pPr>
            <w:r w:rsidRPr="007D69D1">
              <w:rPr>
                <w:rFonts w:ascii="仿宋" w:eastAsia="仿宋" w:hAnsi="仿宋" w:hint="eastAsia"/>
                <w:sz w:val="24"/>
              </w:rPr>
              <w:t>·制剂处方：</w:t>
            </w:r>
          </w:p>
          <w:p w:rsidR="00F55F1C" w:rsidRPr="007D69D1" w:rsidRDefault="00F55F1C" w:rsidP="00A0600A">
            <w:pPr>
              <w:adjustRightInd w:val="0"/>
              <w:spacing w:line="480" w:lineRule="exact"/>
              <w:jc w:val="left"/>
              <w:rPr>
                <w:rFonts w:ascii="仿宋" w:eastAsia="仿宋" w:hAnsi="仿宋"/>
                <w:sz w:val="24"/>
              </w:rPr>
            </w:pPr>
            <w:r w:rsidRPr="007D69D1">
              <w:rPr>
                <w:rFonts w:ascii="仿宋" w:eastAsia="仿宋" w:hAnsi="仿宋"/>
                <w:sz w:val="24"/>
              </w:rPr>
              <w:t xml:space="preserve">  -</w:t>
            </w:r>
            <w:r w:rsidRPr="007D69D1">
              <w:rPr>
                <w:rFonts w:ascii="仿宋" w:eastAsia="仿宋" w:hAnsi="仿宋" w:hint="eastAsia"/>
                <w:sz w:val="24"/>
              </w:rPr>
              <w:t>醋酸盐、柠檬酸盐、磷酸盐缓冲液</w:t>
            </w:r>
          </w:p>
          <w:p w:rsidR="00F55F1C" w:rsidRPr="007D69D1" w:rsidRDefault="00F55F1C" w:rsidP="00A0600A">
            <w:pPr>
              <w:adjustRightInd w:val="0"/>
              <w:spacing w:line="480" w:lineRule="exact"/>
              <w:jc w:val="left"/>
              <w:rPr>
                <w:rFonts w:ascii="仿宋" w:eastAsia="仿宋" w:hAnsi="仿宋"/>
                <w:sz w:val="24"/>
              </w:rPr>
            </w:pPr>
            <w:r w:rsidRPr="007D69D1">
              <w:rPr>
                <w:rFonts w:ascii="仿宋" w:eastAsia="仿宋" w:hAnsi="仿宋"/>
                <w:sz w:val="24"/>
              </w:rPr>
              <w:t xml:space="preserve">  -</w:t>
            </w:r>
            <w:r w:rsidRPr="007D69D1">
              <w:rPr>
                <w:rFonts w:ascii="仿宋" w:eastAsia="仿宋" w:hAnsi="仿宋" w:hint="eastAsia"/>
                <w:sz w:val="24"/>
              </w:rPr>
              <w:t>有机酸的钠盐，如葡萄糖酸盐、马来酸盐、琥珀酸盐、酒石酸盐</w:t>
            </w:r>
          </w:p>
          <w:p w:rsidR="00F55F1C" w:rsidRPr="007D69D1" w:rsidRDefault="00F55F1C" w:rsidP="00A0600A">
            <w:pPr>
              <w:adjustRightInd w:val="0"/>
              <w:spacing w:line="480" w:lineRule="exact"/>
              <w:jc w:val="left"/>
              <w:rPr>
                <w:rFonts w:ascii="仿宋" w:eastAsia="仿宋" w:hAnsi="仿宋"/>
                <w:sz w:val="24"/>
              </w:rPr>
            </w:pPr>
            <w:r w:rsidRPr="007D69D1">
              <w:rPr>
                <w:rFonts w:ascii="仿宋" w:eastAsia="仿宋" w:hAnsi="仿宋"/>
                <w:sz w:val="24"/>
              </w:rPr>
              <w:t xml:space="preserve">  -</w:t>
            </w:r>
            <w:r w:rsidRPr="007D69D1">
              <w:rPr>
                <w:rFonts w:ascii="仿宋" w:eastAsia="仿宋" w:hAnsi="仿宋" w:hint="eastAsia"/>
                <w:sz w:val="24"/>
              </w:rPr>
              <w:t>高离子强度，</w:t>
            </w:r>
            <w:r w:rsidRPr="00457BA9">
              <w:rPr>
                <w:rFonts w:eastAsia="仿宋" w:hint="eastAsia"/>
                <w:color w:val="000000"/>
                <w:sz w:val="24"/>
              </w:rPr>
              <w:t>如</w:t>
            </w:r>
            <w:r w:rsidRPr="00457BA9">
              <w:rPr>
                <w:rFonts w:eastAsia="仿宋"/>
                <w:color w:val="000000"/>
                <w:sz w:val="24"/>
              </w:rPr>
              <w:t>&gt;</w:t>
            </w:r>
            <w:smartTag w:uri="urn:schemas-microsoft-com:office:smarttags" w:element="chmetcnv">
              <w:smartTagPr>
                <w:attr w:name="UnitName" w:val="m"/>
                <w:attr w:name="SourceValue" w:val=".1"/>
                <w:attr w:name="HasSpace" w:val="False"/>
                <w:attr w:name="Negative" w:val="False"/>
                <w:attr w:name="NumberType" w:val="1"/>
                <w:attr w:name="TCSC" w:val="0"/>
              </w:smartTagPr>
              <w:r w:rsidRPr="00457BA9">
                <w:rPr>
                  <w:rFonts w:eastAsia="仿宋"/>
                  <w:color w:val="000000"/>
                  <w:sz w:val="24"/>
                </w:rPr>
                <w:t>0.1M</w:t>
              </w:r>
            </w:smartTag>
            <w:r w:rsidRPr="007D69D1">
              <w:rPr>
                <w:rFonts w:ascii="仿宋" w:eastAsia="仿宋" w:hAnsi="仿宋" w:hint="eastAsia"/>
                <w:sz w:val="24"/>
              </w:rPr>
              <w:t>的碱金属盐</w:t>
            </w:r>
          </w:p>
          <w:p w:rsidR="00F55F1C" w:rsidRPr="007D69D1" w:rsidRDefault="00F55F1C" w:rsidP="00A0600A">
            <w:pPr>
              <w:adjustRightInd w:val="0"/>
              <w:spacing w:line="480" w:lineRule="exact"/>
              <w:jc w:val="left"/>
              <w:rPr>
                <w:rFonts w:ascii="仿宋" w:eastAsia="仿宋" w:hAnsi="仿宋"/>
                <w:sz w:val="24"/>
              </w:rPr>
            </w:pPr>
            <w:r w:rsidRPr="007D69D1">
              <w:rPr>
                <w:rFonts w:ascii="仿宋" w:eastAsia="仿宋" w:hAnsi="仿宋"/>
                <w:sz w:val="24"/>
              </w:rPr>
              <w:t xml:space="preserve">  -</w:t>
            </w:r>
            <w:r w:rsidRPr="007D69D1">
              <w:rPr>
                <w:rFonts w:ascii="仿宋" w:eastAsia="仿宋" w:hAnsi="仿宋" w:hint="eastAsia"/>
                <w:sz w:val="24"/>
              </w:rPr>
              <w:t>配位试剂，</w:t>
            </w:r>
            <w:r w:rsidRPr="00457BA9">
              <w:rPr>
                <w:rFonts w:eastAsia="仿宋" w:hint="eastAsia"/>
                <w:color w:val="000000"/>
                <w:sz w:val="24"/>
              </w:rPr>
              <w:t>例如</w:t>
            </w:r>
            <w:r w:rsidRPr="00457BA9">
              <w:rPr>
                <w:rFonts w:eastAsia="仿宋"/>
                <w:color w:val="000000"/>
                <w:sz w:val="24"/>
              </w:rPr>
              <w:t>EDTA</w:t>
            </w:r>
          </w:p>
          <w:p w:rsidR="00F55F1C" w:rsidRPr="007D69D1" w:rsidRDefault="00F55F1C" w:rsidP="00A0600A">
            <w:pPr>
              <w:adjustRightInd w:val="0"/>
              <w:spacing w:line="480" w:lineRule="exact"/>
              <w:jc w:val="left"/>
              <w:rPr>
                <w:rFonts w:ascii="仿宋" w:eastAsia="仿宋" w:hAnsi="仿宋"/>
                <w:sz w:val="24"/>
              </w:rPr>
            </w:pPr>
            <w:r w:rsidRPr="007D69D1">
              <w:rPr>
                <w:rFonts w:ascii="仿宋" w:eastAsia="仿宋" w:hAnsi="仿宋"/>
                <w:sz w:val="24"/>
              </w:rPr>
              <w:t xml:space="preserve">  -</w:t>
            </w:r>
            <w:r w:rsidRPr="007D69D1">
              <w:rPr>
                <w:rFonts w:ascii="仿宋" w:eastAsia="仿宋" w:hAnsi="仿宋" w:hint="eastAsia"/>
                <w:sz w:val="24"/>
              </w:rPr>
              <w:t>高</w:t>
            </w:r>
            <w:r w:rsidRPr="007D69D1">
              <w:rPr>
                <w:rFonts w:ascii="仿宋" w:eastAsia="仿宋" w:hAnsi="仿宋"/>
                <w:sz w:val="24"/>
              </w:rPr>
              <w:t>pH</w:t>
            </w:r>
            <w:r w:rsidRPr="007D69D1">
              <w:rPr>
                <w:rFonts w:ascii="仿宋" w:eastAsia="仿宋" w:hAnsi="仿宋" w:hint="eastAsia"/>
                <w:sz w:val="24"/>
              </w:rPr>
              <w:t>值</w:t>
            </w:r>
            <w:r w:rsidRPr="00457BA9">
              <w:rPr>
                <w:rFonts w:eastAsia="仿宋" w:hint="eastAsia"/>
                <w:color w:val="000000"/>
                <w:sz w:val="24"/>
              </w:rPr>
              <w:t>（</w:t>
            </w:r>
            <w:r w:rsidRPr="00457BA9">
              <w:rPr>
                <w:rFonts w:eastAsia="仿宋"/>
                <w:color w:val="000000"/>
                <w:sz w:val="24"/>
              </w:rPr>
              <w:t>&gt; 8.0</w:t>
            </w:r>
            <w:r w:rsidRPr="00457BA9">
              <w:rPr>
                <w:rFonts w:eastAsia="仿宋" w:hint="eastAsia"/>
                <w:color w:val="000000"/>
                <w:sz w:val="24"/>
              </w:rPr>
              <w:t>）</w:t>
            </w:r>
          </w:p>
          <w:p w:rsidR="00F55F1C" w:rsidRPr="007D69D1" w:rsidRDefault="00F55F1C" w:rsidP="00A0600A">
            <w:pPr>
              <w:adjustRightInd w:val="0"/>
              <w:spacing w:line="480" w:lineRule="exact"/>
              <w:jc w:val="left"/>
              <w:rPr>
                <w:rFonts w:ascii="仿宋" w:eastAsia="仿宋" w:hAnsi="仿宋"/>
                <w:sz w:val="24"/>
              </w:rPr>
            </w:pPr>
            <w:r w:rsidRPr="007D69D1">
              <w:rPr>
                <w:rFonts w:ascii="仿宋" w:eastAsia="仿宋" w:hAnsi="仿宋" w:hint="eastAsia"/>
                <w:sz w:val="24"/>
              </w:rPr>
              <w:t>·终端灭菌</w:t>
            </w:r>
          </w:p>
          <w:p w:rsidR="00F55F1C" w:rsidRPr="007D69D1" w:rsidRDefault="00F55F1C" w:rsidP="00A0600A">
            <w:pPr>
              <w:adjustRightInd w:val="0"/>
              <w:spacing w:line="480" w:lineRule="exact"/>
              <w:jc w:val="left"/>
              <w:rPr>
                <w:rFonts w:ascii="仿宋" w:eastAsia="仿宋" w:hAnsi="仿宋"/>
                <w:sz w:val="24"/>
              </w:rPr>
            </w:pPr>
            <w:r w:rsidRPr="007D69D1">
              <w:rPr>
                <w:rFonts w:ascii="仿宋" w:eastAsia="仿宋" w:hAnsi="仿宋" w:hint="eastAsia"/>
                <w:sz w:val="24"/>
              </w:rPr>
              <w:t>·标示的储存条件（冷藏或可控室温）</w:t>
            </w:r>
          </w:p>
          <w:p w:rsidR="00F55F1C" w:rsidRPr="007D69D1" w:rsidRDefault="00F55F1C" w:rsidP="00A0600A">
            <w:pPr>
              <w:adjustRightInd w:val="0"/>
              <w:spacing w:line="480" w:lineRule="exact"/>
              <w:jc w:val="left"/>
              <w:rPr>
                <w:rFonts w:ascii="仿宋" w:eastAsia="仿宋" w:hAnsi="仿宋"/>
                <w:sz w:val="24"/>
              </w:rPr>
            </w:pPr>
            <w:r w:rsidRPr="007D69D1">
              <w:rPr>
                <w:rFonts w:ascii="仿宋" w:eastAsia="仿宋" w:hAnsi="仿宋" w:hint="eastAsia"/>
                <w:sz w:val="24"/>
              </w:rPr>
              <w:t>·保质期限</w:t>
            </w:r>
          </w:p>
        </w:tc>
      </w:tr>
    </w:tbl>
    <w:p w:rsidR="00F55F1C" w:rsidRDefault="00F55F1C" w:rsidP="00F55F1C">
      <w:pPr>
        <w:autoSpaceDE w:val="0"/>
        <w:autoSpaceDN w:val="0"/>
        <w:adjustRightInd w:val="0"/>
        <w:snapToGrid w:val="0"/>
        <w:spacing w:line="360" w:lineRule="auto"/>
        <w:jc w:val="center"/>
        <w:rPr>
          <w:rFonts w:ascii="仿宋" w:eastAsia="仿宋" w:hAnsi="仿宋"/>
          <w:b/>
          <w:sz w:val="28"/>
          <w:szCs w:val="28"/>
        </w:rPr>
      </w:pPr>
    </w:p>
    <w:p w:rsidR="00F55F1C" w:rsidRDefault="00F55F1C" w:rsidP="00F55F1C">
      <w:pPr>
        <w:autoSpaceDE w:val="0"/>
        <w:autoSpaceDN w:val="0"/>
        <w:adjustRightInd w:val="0"/>
        <w:snapToGrid w:val="0"/>
        <w:spacing w:line="360" w:lineRule="auto"/>
        <w:jc w:val="center"/>
        <w:rPr>
          <w:rFonts w:ascii="仿宋" w:eastAsia="仿宋" w:hAnsi="仿宋"/>
          <w:b/>
          <w:sz w:val="28"/>
          <w:szCs w:val="28"/>
        </w:rPr>
      </w:pPr>
    </w:p>
    <w:p w:rsidR="00F55F1C" w:rsidRPr="00457BA9" w:rsidRDefault="00F55F1C" w:rsidP="00F55F1C">
      <w:pPr>
        <w:autoSpaceDE w:val="0"/>
        <w:autoSpaceDN w:val="0"/>
        <w:adjustRightInd w:val="0"/>
        <w:snapToGrid w:val="0"/>
        <w:spacing w:line="360" w:lineRule="auto"/>
        <w:jc w:val="center"/>
        <w:rPr>
          <w:rFonts w:eastAsia="楷体_GB2312"/>
          <w:bCs/>
          <w:kern w:val="0"/>
          <w:sz w:val="32"/>
          <w:szCs w:val="32"/>
        </w:rPr>
      </w:pPr>
      <w:r w:rsidRPr="00457BA9">
        <w:rPr>
          <w:rFonts w:eastAsia="楷体_GB2312" w:hint="eastAsia"/>
          <w:bCs/>
          <w:kern w:val="0"/>
          <w:sz w:val="32"/>
          <w:szCs w:val="32"/>
        </w:rPr>
        <w:lastRenderedPageBreak/>
        <w:t>附件</w:t>
      </w:r>
      <w:r w:rsidRPr="00457BA9">
        <w:rPr>
          <w:rFonts w:eastAsia="楷体_GB2312" w:hint="eastAsia"/>
          <w:bCs/>
          <w:kern w:val="0"/>
          <w:sz w:val="32"/>
          <w:szCs w:val="32"/>
        </w:rPr>
        <w:t>4</w:t>
      </w:r>
      <w:r w:rsidRPr="00457BA9">
        <w:rPr>
          <w:rFonts w:eastAsia="楷体_GB2312" w:hint="eastAsia"/>
          <w:bCs/>
          <w:kern w:val="0"/>
          <w:sz w:val="32"/>
          <w:szCs w:val="32"/>
        </w:rPr>
        <w:t>：玻璃容器相容性研究决策树</w:t>
      </w:r>
    </w:p>
    <w:p w:rsidR="00F55F1C" w:rsidRPr="007D69D1" w:rsidRDefault="00F55F1C" w:rsidP="00F55F1C">
      <w:pPr>
        <w:autoSpaceDE w:val="0"/>
        <w:autoSpaceDN w:val="0"/>
        <w:adjustRightInd w:val="0"/>
        <w:snapToGrid w:val="0"/>
        <w:spacing w:line="360" w:lineRule="auto"/>
        <w:rPr>
          <w:rFonts w:ascii="仿宋" w:eastAsia="仿宋" w:hAnsi="仿宋"/>
        </w:rPr>
      </w:pPr>
      <w:r w:rsidRPr="007D69D1">
        <w:rPr>
          <w:rFonts w:ascii="仿宋" w:eastAsia="仿宋" w:hAnsi="仿宋" w:hint="eastAsia"/>
        </w:rPr>
        <w:object w:dxaOrig="13092" w:dyaOrig="14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581.25pt" o:ole="">
            <v:imagedata r:id="rId7" o:title=""/>
          </v:shape>
          <o:OLEObject Type="Embed" ProgID="Visio.Drawing.11" ShapeID="_x0000_i1025" DrawAspect="Content" ObjectID="_1500268500" r:id="rId8"/>
        </w:object>
      </w:r>
    </w:p>
    <w:p w:rsidR="00F55F1C" w:rsidRDefault="00F55F1C" w:rsidP="00F55F1C">
      <w:pPr>
        <w:autoSpaceDE w:val="0"/>
        <w:autoSpaceDN w:val="0"/>
        <w:adjustRightInd w:val="0"/>
        <w:snapToGrid w:val="0"/>
        <w:spacing w:line="360" w:lineRule="auto"/>
        <w:rPr>
          <w:rFonts w:eastAsia="楷体_GB2312"/>
          <w:bCs/>
          <w:kern w:val="0"/>
          <w:sz w:val="32"/>
          <w:szCs w:val="32"/>
        </w:rPr>
      </w:pPr>
    </w:p>
    <w:p w:rsidR="00F55F1C" w:rsidRPr="00457BA9" w:rsidRDefault="00F55F1C" w:rsidP="00F55F1C">
      <w:pPr>
        <w:autoSpaceDE w:val="0"/>
        <w:autoSpaceDN w:val="0"/>
        <w:adjustRightInd w:val="0"/>
        <w:snapToGrid w:val="0"/>
        <w:spacing w:line="360" w:lineRule="auto"/>
        <w:rPr>
          <w:rFonts w:eastAsia="楷体_GB2312"/>
          <w:bCs/>
          <w:kern w:val="0"/>
          <w:sz w:val="32"/>
          <w:szCs w:val="32"/>
        </w:rPr>
      </w:pPr>
    </w:p>
    <w:p w:rsidR="00F55F1C" w:rsidRPr="00457BA9" w:rsidRDefault="00F55F1C" w:rsidP="00F55F1C">
      <w:pPr>
        <w:adjustRightInd w:val="0"/>
        <w:snapToGrid w:val="0"/>
        <w:spacing w:line="360" w:lineRule="auto"/>
        <w:jc w:val="center"/>
        <w:rPr>
          <w:rFonts w:eastAsia="楷体_GB2312"/>
          <w:bCs/>
          <w:kern w:val="0"/>
          <w:sz w:val="32"/>
          <w:szCs w:val="32"/>
        </w:rPr>
      </w:pPr>
      <w:r w:rsidRPr="00457BA9">
        <w:rPr>
          <w:rFonts w:eastAsia="楷体_GB2312" w:hint="eastAsia"/>
          <w:bCs/>
          <w:kern w:val="0"/>
          <w:sz w:val="32"/>
          <w:szCs w:val="32"/>
        </w:rPr>
        <w:lastRenderedPageBreak/>
        <w:t>附件</w:t>
      </w:r>
      <w:r w:rsidRPr="00457BA9">
        <w:rPr>
          <w:rFonts w:eastAsia="楷体_GB2312" w:hint="eastAsia"/>
          <w:bCs/>
          <w:kern w:val="0"/>
          <w:sz w:val="32"/>
          <w:szCs w:val="32"/>
        </w:rPr>
        <w:t>5</w:t>
      </w:r>
      <w:r w:rsidRPr="00457BA9">
        <w:rPr>
          <w:rFonts w:eastAsia="楷体_GB2312" w:hint="eastAsia"/>
          <w:bCs/>
          <w:kern w:val="0"/>
          <w:sz w:val="32"/>
          <w:szCs w:val="32"/>
        </w:rPr>
        <w:t>：</w:t>
      </w:r>
      <w:proofErr w:type="gramStart"/>
      <w:r w:rsidRPr="00457BA9">
        <w:rPr>
          <w:rFonts w:eastAsia="楷体_GB2312" w:hint="eastAsia"/>
          <w:bCs/>
          <w:kern w:val="0"/>
          <w:sz w:val="32"/>
          <w:szCs w:val="32"/>
        </w:rPr>
        <w:t>加速脱片的</w:t>
      </w:r>
      <w:proofErr w:type="gramEnd"/>
      <w:r w:rsidRPr="00457BA9">
        <w:rPr>
          <w:rFonts w:eastAsia="楷体_GB2312" w:hint="eastAsia"/>
          <w:bCs/>
          <w:kern w:val="0"/>
          <w:sz w:val="32"/>
          <w:szCs w:val="32"/>
        </w:rPr>
        <w:t>介质和条件（美国药典</w:t>
      </w:r>
      <w:r w:rsidRPr="00457BA9">
        <w:rPr>
          <w:rFonts w:eastAsia="楷体_GB2312"/>
          <w:bCs/>
          <w:kern w:val="0"/>
          <w:sz w:val="32"/>
          <w:szCs w:val="32"/>
        </w:rPr>
        <w:t>&lt;1660&gt;</w:t>
      </w:r>
      <w:r w:rsidRPr="00457BA9">
        <w:rPr>
          <w:rFonts w:eastAsia="楷体_GB2312" w:hint="eastAsia"/>
          <w:bCs/>
          <w:kern w:val="0"/>
          <w:sz w:val="32"/>
          <w:szCs w:val="32"/>
        </w:rPr>
        <w:t>玻璃内</w:t>
      </w:r>
    </w:p>
    <w:p w:rsidR="00F55F1C" w:rsidRPr="00457BA9" w:rsidRDefault="00F55F1C" w:rsidP="00F55F1C">
      <w:pPr>
        <w:adjustRightInd w:val="0"/>
        <w:snapToGrid w:val="0"/>
        <w:spacing w:line="360" w:lineRule="auto"/>
        <w:jc w:val="center"/>
        <w:rPr>
          <w:rFonts w:eastAsia="楷体_GB2312"/>
          <w:bCs/>
          <w:kern w:val="0"/>
          <w:sz w:val="32"/>
          <w:szCs w:val="32"/>
        </w:rPr>
      </w:pPr>
      <w:r w:rsidRPr="00457BA9">
        <w:rPr>
          <w:rFonts w:eastAsia="楷体_GB2312" w:hint="eastAsia"/>
          <w:bCs/>
          <w:kern w:val="0"/>
          <w:sz w:val="32"/>
          <w:szCs w:val="32"/>
        </w:rPr>
        <w:t>表面耐受性评估指南）</w:t>
      </w:r>
    </w:p>
    <w:p w:rsidR="00F55F1C" w:rsidRPr="007D69D1" w:rsidRDefault="00F55F1C" w:rsidP="00F55F1C">
      <w:pPr>
        <w:adjustRightInd w:val="0"/>
        <w:snapToGrid w:val="0"/>
        <w:spacing w:line="360" w:lineRule="auto"/>
        <w:rPr>
          <w:rFonts w:ascii="仿宋" w:eastAsia="仿宋" w:hAnsi="仿宋"/>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2868"/>
        <w:gridCol w:w="2435"/>
        <w:gridCol w:w="2435"/>
      </w:tblGrid>
      <w:tr w:rsidR="00F55F1C" w:rsidRPr="00457BA9" w:rsidTr="00A0600A">
        <w:tc>
          <w:tcPr>
            <w:tcW w:w="729" w:type="pct"/>
          </w:tcPr>
          <w:p w:rsidR="00F55F1C" w:rsidRPr="00457BA9" w:rsidRDefault="00F55F1C" w:rsidP="00A0600A">
            <w:pPr>
              <w:autoSpaceDE w:val="0"/>
              <w:autoSpaceDN w:val="0"/>
              <w:adjustRightInd w:val="0"/>
              <w:snapToGrid w:val="0"/>
              <w:spacing w:line="360" w:lineRule="auto"/>
              <w:jc w:val="center"/>
              <w:rPr>
                <w:rFonts w:eastAsia="仿宋"/>
                <w:b/>
                <w:sz w:val="24"/>
              </w:rPr>
            </w:pPr>
            <w:r w:rsidRPr="00457BA9">
              <w:rPr>
                <w:rFonts w:eastAsia="仿宋"/>
                <w:sz w:val="24"/>
              </w:rPr>
              <w:t>介质</w:t>
            </w:r>
          </w:p>
        </w:tc>
        <w:tc>
          <w:tcPr>
            <w:tcW w:w="1583" w:type="pct"/>
          </w:tcPr>
          <w:p w:rsidR="00F55F1C" w:rsidRPr="00457BA9" w:rsidRDefault="00F55F1C" w:rsidP="00A0600A">
            <w:pPr>
              <w:spacing w:line="360" w:lineRule="auto"/>
              <w:jc w:val="center"/>
              <w:rPr>
                <w:rFonts w:eastAsia="仿宋"/>
                <w:sz w:val="24"/>
              </w:rPr>
            </w:pPr>
            <w:r w:rsidRPr="00457BA9">
              <w:rPr>
                <w:rFonts w:eastAsia="仿宋"/>
                <w:sz w:val="24"/>
              </w:rPr>
              <w:t>0.9%KCl</w:t>
            </w:r>
            <w:r w:rsidRPr="00457BA9">
              <w:rPr>
                <w:rFonts w:eastAsia="仿宋"/>
                <w:sz w:val="24"/>
              </w:rPr>
              <w:t>溶液</w:t>
            </w:r>
          </w:p>
          <w:p w:rsidR="00F55F1C" w:rsidRPr="00457BA9" w:rsidRDefault="00F55F1C" w:rsidP="00A0600A">
            <w:pPr>
              <w:autoSpaceDE w:val="0"/>
              <w:autoSpaceDN w:val="0"/>
              <w:adjustRightInd w:val="0"/>
              <w:snapToGrid w:val="0"/>
              <w:spacing w:line="360" w:lineRule="auto"/>
              <w:jc w:val="center"/>
              <w:rPr>
                <w:rFonts w:eastAsia="仿宋"/>
                <w:b/>
                <w:sz w:val="24"/>
              </w:rPr>
            </w:pPr>
            <w:r w:rsidRPr="00457BA9">
              <w:rPr>
                <w:rFonts w:eastAsia="仿宋"/>
                <w:sz w:val="24"/>
              </w:rPr>
              <w:t>pH8.0</w:t>
            </w:r>
          </w:p>
        </w:tc>
        <w:tc>
          <w:tcPr>
            <w:tcW w:w="1344" w:type="pct"/>
          </w:tcPr>
          <w:p w:rsidR="00F55F1C" w:rsidRPr="00457BA9" w:rsidRDefault="00F55F1C" w:rsidP="00A0600A">
            <w:pPr>
              <w:spacing w:line="360" w:lineRule="auto"/>
              <w:jc w:val="center"/>
              <w:rPr>
                <w:rFonts w:eastAsia="仿宋"/>
                <w:sz w:val="24"/>
              </w:rPr>
            </w:pPr>
            <w:r w:rsidRPr="00457BA9">
              <w:rPr>
                <w:rFonts w:eastAsia="仿宋"/>
                <w:sz w:val="24"/>
              </w:rPr>
              <w:t>3%</w:t>
            </w:r>
            <w:r w:rsidRPr="00457BA9">
              <w:rPr>
                <w:rFonts w:eastAsia="仿宋"/>
                <w:sz w:val="24"/>
              </w:rPr>
              <w:t>枸橼酸钠溶液</w:t>
            </w:r>
          </w:p>
          <w:p w:rsidR="00F55F1C" w:rsidRPr="00457BA9" w:rsidRDefault="00F55F1C" w:rsidP="00A0600A">
            <w:pPr>
              <w:autoSpaceDE w:val="0"/>
              <w:autoSpaceDN w:val="0"/>
              <w:adjustRightInd w:val="0"/>
              <w:snapToGrid w:val="0"/>
              <w:spacing w:line="360" w:lineRule="auto"/>
              <w:jc w:val="center"/>
              <w:rPr>
                <w:rFonts w:eastAsia="仿宋"/>
                <w:b/>
                <w:sz w:val="24"/>
              </w:rPr>
            </w:pPr>
            <w:r w:rsidRPr="00457BA9">
              <w:rPr>
                <w:rFonts w:eastAsia="仿宋"/>
                <w:sz w:val="24"/>
              </w:rPr>
              <w:t>pH8.0</w:t>
            </w:r>
          </w:p>
        </w:tc>
        <w:tc>
          <w:tcPr>
            <w:tcW w:w="1344" w:type="pct"/>
          </w:tcPr>
          <w:p w:rsidR="00F55F1C" w:rsidRPr="00457BA9" w:rsidRDefault="00F55F1C" w:rsidP="00A0600A">
            <w:pPr>
              <w:spacing w:line="360" w:lineRule="auto"/>
              <w:jc w:val="center"/>
              <w:rPr>
                <w:rFonts w:eastAsia="仿宋"/>
                <w:sz w:val="24"/>
              </w:rPr>
            </w:pPr>
            <w:smartTag w:uri="urn:schemas-microsoft-com:office:smarttags" w:element="chmetcnv">
              <w:smartTagPr>
                <w:attr w:name="UnitName" w:val="mm"/>
                <w:attr w:name="SourceValue" w:val="20"/>
                <w:attr w:name="HasSpace" w:val="False"/>
                <w:attr w:name="Negative" w:val="False"/>
                <w:attr w:name="NumberType" w:val="1"/>
                <w:attr w:name="TCSC" w:val="0"/>
              </w:smartTagPr>
              <w:r w:rsidRPr="00457BA9">
                <w:rPr>
                  <w:rFonts w:eastAsia="仿宋"/>
                  <w:sz w:val="24"/>
                </w:rPr>
                <w:t>20mM</w:t>
              </w:r>
            </w:smartTag>
            <w:r w:rsidRPr="00457BA9">
              <w:rPr>
                <w:rFonts w:eastAsia="仿宋"/>
                <w:sz w:val="24"/>
              </w:rPr>
              <w:t>甘氨酸溶液</w:t>
            </w:r>
          </w:p>
          <w:p w:rsidR="00F55F1C" w:rsidRPr="00457BA9" w:rsidRDefault="00F55F1C" w:rsidP="00A0600A">
            <w:pPr>
              <w:autoSpaceDE w:val="0"/>
              <w:autoSpaceDN w:val="0"/>
              <w:adjustRightInd w:val="0"/>
              <w:snapToGrid w:val="0"/>
              <w:spacing w:line="360" w:lineRule="auto"/>
              <w:jc w:val="center"/>
              <w:rPr>
                <w:rFonts w:eastAsia="仿宋"/>
                <w:b/>
                <w:sz w:val="24"/>
              </w:rPr>
            </w:pPr>
            <w:r w:rsidRPr="00457BA9">
              <w:rPr>
                <w:rFonts w:eastAsia="仿宋"/>
                <w:sz w:val="24"/>
              </w:rPr>
              <w:t>pH10.0</w:t>
            </w:r>
          </w:p>
        </w:tc>
      </w:tr>
      <w:tr w:rsidR="00F55F1C" w:rsidRPr="00457BA9" w:rsidTr="00A0600A">
        <w:tc>
          <w:tcPr>
            <w:tcW w:w="729" w:type="pct"/>
          </w:tcPr>
          <w:p w:rsidR="00F55F1C" w:rsidRPr="00457BA9" w:rsidRDefault="00F55F1C" w:rsidP="00A0600A">
            <w:pPr>
              <w:autoSpaceDE w:val="0"/>
              <w:autoSpaceDN w:val="0"/>
              <w:adjustRightInd w:val="0"/>
              <w:snapToGrid w:val="0"/>
              <w:spacing w:line="360" w:lineRule="auto"/>
              <w:jc w:val="center"/>
              <w:rPr>
                <w:rFonts w:eastAsia="仿宋"/>
                <w:b/>
                <w:sz w:val="24"/>
              </w:rPr>
            </w:pPr>
            <w:r w:rsidRPr="00457BA9">
              <w:rPr>
                <w:rFonts w:eastAsia="仿宋"/>
                <w:sz w:val="24"/>
              </w:rPr>
              <w:t>条件</w:t>
            </w:r>
          </w:p>
        </w:tc>
        <w:tc>
          <w:tcPr>
            <w:tcW w:w="1583" w:type="pct"/>
          </w:tcPr>
          <w:p w:rsidR="00F55F1C" w:rsidRPr="00457BA9" w:rsidRDefault="00F55F1C" w:rsidP="00A0600A">
            <w:pPr>
              <w:autoSpaceDE w:val="0"/>
              <w:autoSpaceDN w:val="0"/>
              <w:adjustRightInd w:val="0"/>
              <w:snapToGrid w:val="0"/>
              <w:spacing w:line="360" w:lineRule="auto"/>
              <w:jc w:val="center"/>
              <w:rPr>
                <w:rFonts w:eastAsia="仿宋"/>
                <w:b/>
                <w:sz w:val="24"/>
              </w:rPr>
            </w:pPr>
            <w:r w:rsidRPr="00457BA9">
              <w:rPr>
                <w:rFonts w:eastAsia="仿宋"/>
                <w:sz w:val="24"/>
              </w:rPr>
              <w:t>121</w:t>
            </w:r>
            <w:r w:rsidRPr="00457BA9">
              <w:rPr>
                <w:rFonts w:ascii="宋体" w:hAnsi="宋体" w:cs="宋体" w:hint="eastAsia"/>
                <w:sz w:val="24"/>
              </w:rPr>
              <w:t>℃</w:t>
            </w:r>
            <w:r w:rsidRPr="00457BA9">
              <w:rPr>
                <w:rFonts w:eastAsia="仿宋"/>
                <w:sz w:val="24"/>
              </w:rPr>
              <w:t>，</w:t>
            </w:r>
            <w:r w:rsidRPr="00457BA9">
              <w:rPr>
                <w:rFonts w:eastAsia="仿宋"/>
                <w:sz w:val="24"/>
              </w:rPr>
              <w:t>2hr</w:t>
            </w:r>
          </w:p>
        </w:tc>
        <w:tc>
          <w:tcPr>
            <w:tcW w:w="1344" w:type="pct"/>
          </w:tcPr>
          <w:p w:rsidR="00F55F1C" w:rsidRPr="00457BA9" w:rsidRDefault="00F55F1C" w:rsidP="00A0600A">
            <w:pPr>
              <w:autoSpaceDE w:val="0"/>
              <w:autoSpaceDN w:val="0"/>
              <w:adjustRightInd w:val="0"/>
              <w:snapToGrid w:val="0"/>
              <w:spacing w:line="360" w:lineRule="auto"/>
              <w:jc w:val="center"/>
              <w:rPr>
                <w:rFonts w:eastAsia="仿宋"/>
                <w:b/>
                <w:sz w:val="24"/>
              </w:rPr>
            </w:pPr>
            <w:r w:rsidRPr="00457BA9">
              <w:rPr>
                <w:rFonts w:eastAsia="仿宋"/>
                <w:sz w:val="24"/>
              </w:rPr>
              <w:t>80</w:t>
            </w:r>
            <w:r w:rsidRPr="00457BA9">
              <w:rPr>
                <w:rFonts w:ascii="宋体" w:hAnsi="宋体" w:cs="宋体" w:hint="eastAsia"/>
                <w:sz w:val="24"/>
              </w:rPr>
              <w:t>℃</w:t>
            </w:r>
            <w:r w:rsidRPr="00457BA9">
              <w:rPr>
                <w:rFonts w:eastAsia="仿宋"/>
                <w:sz w:val="24"/>
              </w:rPr>
              <w:t>，</w:t>
            </w:r>
            <w:r w:rsidRPr="00457BA9">
              <w:rPr>
                <w:rFonts w:eastAsia="仿宋"/>
                <w:sz w:val="24"/>
              </w:rPr>
              <w:t>24hr</w:t>
            </w:r>
          </w:p>
        </w:tc>
        <w:tc>
          <w:tcPr>
            <w:tcW w:w="1344" w:type="pct"/>
          </w:tcPr>
          <w:p w:rsidR="00F55F1C" w:rsidRPr="00457BA9" w:rsidRDefault="00F55F1C" w:rsidP="00A0600A">
            <w:pPr>
              <w:autoSpaceDE w:val="0"/>
              <w:autoSpaceDN w:val="0"/>
              <w:adjustRightInd w:val="0"/>
              <w:snapToGrid w:val="0"/>
              <w:spacing w:line="360" w:lineRule="auto"/>
              <w:jc w:val="center"/>
              <w:rPr>
                <w:rFonts w:eastAsia="仿宋"/>
                <w:b/>
                <w:sz w:val="24"/>
              </w:rPr>
            </w:pPr>
            <w:r w:rsidRPr="00457BA9">
              <w:rPr>
                <w:rFonts w:eastAsia="仿宋"/>
                <w:sz w:val="24"/>
              </w:rPr>
              <w:t>50</w:t>
            </w:r>
            <w:r w:rsidRPr="00457BA9">
              <w:rPr>
                <w:rFonts w:ascii="宋体" w:hAnsi="宋体" w:cs="宋体" w:hint="eastAsia"/>
                <w:sz w:val="24"/>
              </w:rPr>
              <w:t>℃</w:t>
            </w:r>
            <w:r w:rsidRPr="00457BA9">
              <w:rPr>
                <w:rFonts w:eastAsia="仿宋"/>
                <w:sz w:val="24"/>
              </w:rPr>
              <w:t>，</w:t>
            </w:r>
            <w:r w:rsidRPr="00457BA9">
              <w:rPr>
                <w:rFonts w:eastAsia="仿宋"/>
                <w:sz w:val="24"/>
              </w:rPr>
              <w:t>24hr</w:t>
            </w:r>
          </w:p>
        </w:tc>
      </w:tr>
    </w:tbl>
    <w:p w:rsidR="00F55F1C" w:rsidRDefault="00F55F1C" w:rsidP="00F55F1C">
      <w:pPr>
        <w:autoSpaceDE w:val="0"/>
        <w:autoSpaceDN w:val="0"/>
        <w:adjustRightInd w:val="0"/>
        <w:snapToGrid w:val="0"/>
        <w:spacing w:line="360" w:lineRule="auto"/>
        <w:jc w:val="center"/>
        <w:rPr>
          <w:rFonts w:eastAsia="楷体_GB2312"/>
          <w:bCs/>
          <w:kern w:val="0"/>
          <w:sz w:val="32"/>
          <w:szCs w:val="32"/>
        </w:rPr>
      </w:pPr>
    </w:p>
    <w:p w:rsidR="00F55F1C" w:rsidRPr="00457BA9" w:rsidRDefault="00F55F1C" w:rsidP="00F55F1C">
      <w:pPr>
        <w:autoSpaceDE w:val="0"/>
        <w:autoSpaceDN w:val="0"/>
        <w:adjustRightInd w:val="0"/>
        <w:snapToGrid w:val="0"/>
        <w:spacing w:line="360" w:lineRule="auto"/>
        <w:jc w:val="center"/>
        <w:rPr>
          <w:rFonts w:eastAsia="楷体_GB2312"/>
          <w:bCs/>
          <w:kern w:val="0"/>
          <w:sz w:val="32"/>
          <w:szCs w:val="32"/>
        </w:rPr>
      </w:pPr>
    </w:p>
    <w:p w:rsidR="00F55F1C" w:rsidRPr="00457BA9" w:rsidRDefault="00F55F1C" w:rsidP="00F55F1C">
      <w:pPr>
        <w:autoSpaceDE w:val="0"/>
        <w:autoSpaceDN w:val="0"/>
        <w:adjustRightInd w:val="0"/>
        <w:snapToGrid w:val="0"/>
        <w:spacing w:line="360" w:lineRule="auto"/>
        <w:jc w:val="center"/>
        <w:rPr>
          <w:rFonts w:eastAsia="楷体_GB2312"/>
          <w:bCs/>
          <w:kern w:val="0"/>
          <w:sz w:val="32"/>
          <w:szCs w:val="32"/>
        </w:rPr>
      </w:pPr>
      <w:r w:rsidRPr="00457BA9">
        <w:rPr>
          <w:rFonts w:eastAsia="楷体_GB2312" w:hint="eastAsia"/>
          <w:bCs/>
          <w:kern w:val="0"/>
          <w:sz w:val="32"/>
          <w:szCs w:val="32"/>
        </w:rPr>
        <w:t>附件</w:t>
      </w:r>
      <w:r w:rsidRPr="00457BA9">
        <w:rPr>
          <w:rFonts w:eastAsia="楷体_GB2312" w:hint="eastAsia"/>
          <w:bCs/>
          <w:kern w:val="0"/>
          <w:sz w:val="32"/>
          <w:szCs w:val="32"/>
        </w:rPr>
        <w:t>6</w:t>
      </w:r>
      <w:r w:rsidRPr="00457BA9">
        <w:rPr>
          <w:rFonts w:eastAsia="楷体_GB2312" w:hint="eastAsia"/>
          <w:bCs/>
          <w:kern w:val="0"/>
          <w:sz w:val="32"/>
          <w:szCs w:val="32"/>
        </w:rPr>
        <w:t>：玻璃容器中常用金属元素的每日允许摄入量（注射途径）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9"/>
        <w:gridCol w:w="3981"/>
      </w:tblGrid>
      <w:tr w:rsidR="00F55F1C" w:rsidRPr="00457BA9" w:rsidTr="00A0600A">
        <w:tc>
          <w:tcPr>
            <w:tcW w:w="2803" w:type="pct"/>
          </w:tcPr>
          <w:p w:rsidR="00F55F1C" w:rsidRPr="00457BA9" w:rsidRDefault="00F55F1C" w:rsidP="00A0600A">
            <w:pPr>
              <w:spacing w:line="360" w:lineRule="auto"/>
              <w:jc w:val="center"/>
              <w:rPr>
                <w:rFonts w:eastAsia="仿宋"/>
                <w:sz w:val="24"/>
              </w:rPr>
            </w:pPr>
            <w:r w:rsidRPr="00457BA9">
              <w:rPr>
                <w:rFonts w:eastAsia="仿宋"/>
                <w:sz w:val="24"/>
              </w:rPr>
              <w:t>金属元素</w:t>
            </w:r>
          </w:p>
        </w:tc>
        <w:tc>
          <w:tcPr>
            <w:tcW w:w="2197" w:type="pct"/>
          </w:tcPr>
          <w:p w:rsidR="00F55F1C" w:rsidRPr="00457BA9" w:rsidRDefault="00F55F1C" w:rsidP="00A0600A">
            <w:pPr>
              <w:spacing w:line="360" w:lineRule="auto"/>
              <w:jc w:val="center"/>
              <w:rPr>
                <w:rFonts w:eastAsia="仿宋"/>
                <w:sz w:val="24"/>
              </w:rPr>
            </w:pPr>
            <w:r w:rsidRPr="00457BA9">
              <w:rPr>
                <w:rFonts w:eastAsia="仿宋"/>
                <w:kern w:val="0"/>
                <w:sz w:val="24"/>
              </w:rPr>
              <w:t>PDE</w:t>
            </w:r>
          </w:p>
        </w:tc>
      </w:tr>
      <w:tr w:rsidR="00F55F1C" w:rsidRPr="00457BA9" w:rsidTr="00A0600A">
        <w:trPr>
          <w:trHeight w:val="255"/>
        </w:trPr>
        <w:tc>
          <w:tcPr>
            <w:tcW w:w="2803" w:type="pct"/>
          </w:tcPr>
          <w:p w:rsidR="00F55F1C" w:rsidRPr="00457BA9" w:rsidRDefault="00F55F1C" w:rsidP="00A0600A">
            <w:pPr>
              <w:spacing w:line="360" w:lineRule="auto"/>
              <w:jc w:val="center"/>
              <w:rPr>
                <w:rFonts w:eastAsia="仿宋"/>
                <w:sz w:val="24"/>
              </w:rPr>
            </w:pPr>
            <w:proofErr w:type="spellStart"/>
            <w:r w:rsidRPr="00457BA9">
              <w:rPr>
                <w:rFonts w:eastAsia="仿宋"/>
                <w:sz w:val="24"/>
              </w:rPr>
              <w:t>Pb</w:t>
            </w:r>
            <w:proofErr w:type="spellEnd"/>
          </w:p>
        </w:tc>
        <w:tc>
          <w:tcPr>
            <w:tcW w:w="2197" w:type="pct"/>
          </w:tcPr>
          <w:p w:rsidR="00F55F1C" w:rsidRPr="00457BA9" w:rsidRDefault="00F55F1C" w:rsidP="00A0600A">
            <w:pPr>
              <w:adjustRightInd w:val="0"/>
              <w:snapToGrid w:val="0"/>
              <w:jc w:val="center"/>
              <w:rPr>
                <w:rFonts w:eastAsia="仿宋"/>
                <w:sz w:val="22"/>
                <w:szCs w:val="22"/>
                <w:lang w:val="en-GB" w:bidi="pa-IN"/>
              </w:rPr>
            </w:pPr>
            <w:r w:rsidRPr="00457BA9">
              <w:rPr>
                <w:rFonts w:eastAsia="仿宋"/>
                <w:bCs/>
                <w:sz w:val="24"/>
              </w:rPr>
              <w:t>5μg/day</w:t>
            </w:r>
          </w:p>
        </w:tc>
      </w:tr>
      <w:tr w:rsidR="00F55F1C" w:rsidRPr="00457BA9" w:rsidTr="00A0600A">
        <w:trPr>
          <w:trHeight w:val="285"/>
        </w:trPr>
        <w:tc>
          <w:tcPr>
            <w:tcW w:w="2803" w:type="pct"/>
          </w:tcPr>
          <w:p w:rsidR="00F55F1C" w:rsidRPr="00457BA9" w:rsidRDefault="00F55F1C" w:rsidP="00A0600A">
            <w:pPr>
              <w:spacing w:line="360" w:lineRule="auto"/>
              <w:jc w:val="center"/>
              <w:rPr>
                <w:rFonts w:eastAsia="仿宋"/>
                <w:sz w:val="24"/>
              </w:rPr>
            </w:pPr>
            <w:r w:rsidRPr="00457BA9">
              <w:rPr>
                <w:rFonts w:eastAsia="仿宋"/>
                <w:sz w:val="24"/>
              </w:rPr>
              <w:t>Co</w:t>
            </w:r>
          </w:p>
        </w:tc>
        <w:tc>
          <w:tcPr>
            <w:tcW w:w="2197" w:type="pct"/>
          </w:tcPr>
          <w:p w:rsidR="00F55F1C" w:rsidRPr="00457BA9" w:rsidRDefault="00F55F1C" w:rsidP="00A0600A">
            <w:pPr>
              <w:adjustRightInd w:val="0"/>
              <w:snapToGrid w:val="0"/>
              <w:jc w:val="center"/>
              <w:rPr>
                <w:rFonts w:eastAsia="仿宋"/>
                <w:sz w:val="22"/>
                <w:szCs w:val="22"/>
                <w:lang w:val="en-GB" w:bidi="pa-IN"/>
              </w:rPr>
            </w:pPr>
            <w:r w:rsidRPr="00457BA9">
              <w:rPr>
                <w:rFonts w:eastAsia="仿宋"/>
                <w:bCs/>
                <w:sz w:val="24"/>
              </w:rPr>
              <w:t>5μg</w:t>
            </w:r>
            <w:r w:rsidRPr="00457BA9">
              <w:rPr>
                <w:rFonts w:eastAsia="仿宋"/>
                <w:sz w:val="22"/>
                <w:szCs w:val="22"/>
                <w:lang w:val="en-GB" w:eastAsia="ja-JP" w:bidi="pa-IN"/>
              </w:rPr>
              <w:t>/day</w:t>
            </w:r>
          </w:p>
        </w:tc>
      </w:tr>
      <w:tr w:rsidR="00F55F1C" w:rsidRPr="00457BA9" w:rsidTr="00A0600A">
        <w:trPr>
          <w:trHeight w:val="270"/>
        </w:trPr>
        <w:tc>
          <w:tcPr>
            <w:tcW w:w="2803" w:type="pct"/>
          </w:tcPr>
          <w:p w:rsidR="00F55F1C" w:rsidRPr="00457BA9" w:rsidRDefault="00F55F1C" w:rsidP="00A0600A">
            <w:pPr>
              <w:spacing w:line="360" w:lineRule="auto"/>
              <w:jc w:val="center"/>
              <w:rPr>
                <w:rFonts w:eastAsia="仿宋"/>
                <w:sz w:val="24"/>
              </w:rPr>
            </w:pPr>
            <w:r w:rsidRPr="00457BA9">
              <w:rPr>
                <w:rFonts w:eastAsia="仿宋"/>
                <w:sz w:val="24"/>
              </w:rPr>
              <w:t>Cd</w:t>
            </w:r>
          </w:p>
        </w:tc>
        <w:tc>
          <w:tcPr>
            <w:tcW w:w="2197" w:type="pct"/>
          </w:tcPr>
          <w:p w:rsidR="00F55F1C" w:rsidRPr="00457BA9" w:rsidRDefault="00F55F1C" w:rsidP="00A0600A">
            <w:pPr>
              <w:adjustRightInd w:val="0"/>
              <w:snapToGrid w:val="0"/>
              <w:jc w:val="center"/>
              <w:rPr>
                <w:rFonts w:eastAsia="仿宋"/>
                <w:sz w:val="22"/>
                <w:szCs w:val="22"/>
                <w:lang w:val="en-GB" w:bidi="pa-IN"/>
              </w:rPr>
            </w:pPr>
            <w:r w:rsidRPr="00457BA9">
              <w:rPr>
                <w:rFonts w:eastAsia="仿宋"/>
                <w:bCs/>
                <w:sz w:val="24"/>
              </w:rPr>
              <w:t>2μg/day</w:t>
            </w:r>
          </w:p>
        </w:tc>
      </w:tr>
      <w:tr w:rsidR="00F55F1C" w:rsidRPr="00457BA9" w:rsidTr="00A0600A">
        <w:trPr>
          <w:trHeight w:val="270"/>
        </w:trPr>
        <w:tc>
          <w:tcPr>
            <w:tcW w:w="2803" w:type="pct"/>
          </w:tcPr>
          <w:p w:rsidR="00F55F1C" w:rsidRPr="00457BA9" w:rsidRDefault="00F55F1C" w:rsidP="00A0600A">
            <w:pPr>
              <w:spacing w:line="360" w:lineRule="auto"/>
              <w:jc w:val="center"/>
              <w:rPr>
                <w:rFonts w:eastAsia="仿宋"/>
                <w:sz w:val="24"/>
              </w:rPr>
            </w:pPr>
            <w:r w:rsidRPr="00457BA9">
              <w:rPr>
                <w:rFonts w:eastAsia="仿宋"/>
                <w:sz w:val="24"/>
              </w:rPr>
              <w:t>As</w:t>
            </w:r>
          </w:p>
        </w:tc>
        <w:tc>
          <w:tcPr>
            <w:tcW w:w="2197" w:type="pct"/>
          </w:tcPr>
          <w:p w:rsidR="00F55F1C" w:rsidRPr="00457BA9" w:rsidRDefault="00F55F1C" w:rsidP="00A0600A">
            <w:pPr>
              <w:adjustRightInd w:val="0"/>
              <w:snapToGrid w:val="0"/>
              <w:jc w:val="center"/>
              <w:rPr>
                <w:rFonts w:eastAsia="仿宋"/>
                <w:sz w:val="22"/>
                <w:szCs w:val="22"/>
                <w:lang w:val="en-GB" w:bidi="pa-IN"/>
              </w:rPr>
            </w:pPr>
            <w:r w:rsidRPr="00457BA9">
              <w:rPr>
                <w:rFonts w:eastAsia="仿宋"/>
                <w:sz w:val="22"/>
                <w:szCs w:val="22"/>
                <w:lang w:val="en-GB" w:bidi="pa-IN"/>
              </w:rPr>
              <w:t>15</w:t>
            </w:r>
            <w:proofErr w:type="spellStart"/>
            <w:r w:rsidRPr="00457BA9">
              <w:rPr>
                <w:rFonts w:eastAsia="仿宋"/>
                <w:bCs/>
                <w:sz w:val="24"/>
              </w:rPr>
              <w:t>μg</w:t>
            </w:r>
            <w:proofErr w:type="spellEnd"/>
            <w:r w:rsidRPr="00457BA9">
              <w:rPr>
                <w:rFonts w:eastAsia="仿宋"/>
                <w:bCs/>
                <w:sz w:val="24"/>
              </w:rPr>
              <w:t>/day</w:t>
            </w:r>
          </w:p>
        </w:tc>
      </w:tr>
      <w:tr w:rsidR="00F55F1C" w:rsidRPr="00457BA9" w:rsidTr="00A0600A">
        <w:tc>
          <w:tcPr>
            <w:tcW w:w="2803" w:type="pct"/>
          </w:tcPr>
          <w:p w:rsidR="00F55F1C" w:rsidRPr="00457BA9" w:rsidRDefault="00F55F1C" w:rsidP="00A0600A">
            <w:pPr>
              <w:spacing w:line="360" w:lineRule="auto"/>
              <w:jc w:val="center"/>
              <w:rPr>
                <w:rFonts w:eastAsia="仿宋"/>
                <w:sz w:val="24"/>
              </w:rPr>
            </w:pPr>
            <w:r w:rsidRPr="00457BA9">
              <w:rPr>
                <w:rFonts w:eastAsia="仿宋"/>
                <w:sz w:val="24"/>
              </w:rPr>
              <w:t>Li</w:t>
            </w:r>
          </w:p>
        </w:tc>
        <w:tc>
          <w:tcPr>
            <w:tcW w:w="2197" w:type="pct"/>
          </w:tcPr>
          <w:p w:rsidR="00F55F1C" w:rsidRPr="00457BA9" w:rsidRDefault="00F55F1C" w:rsidP="00A0600A">
            <w:pPr>
              <w:spacing w:line="360" w:lineRule="auto"/>
              <w:jc w:val="center"/>
              <w:rPr>
                <w:rFonts w:eastAsia="仿宋"/>
                <w:sz w:val="24"/>
              </w:rPr>
            </w:pPr>
            <w:r w:rsidRPr="00457BA9">
              <w:rPr>
                <w:rFonts w:eastAsia="仿宋"/>
                <w:bCs/>
                <w:sz w:val="24"/>
              </w:rPr>
              <w:t>250μg/day</w:t>
            </w:r>
          </w:p>
        </w:tc>
      </w:tr>
      <w:tr w:rsidR="00F55F1C" w:rsidRPr="00457BA9" w:rsidTr="00A0600A">
        <w:trPr>
          <w:trHeight w:val="341"/>
        </w:trPr>
        <w:tc>
          <w:tcPr>
            <w:tcW w:w="2803" w:type="pct"/>
          </w:tcPr>
          <w:p w:rsidR="00F55F1C" w:rsidRPr="00457BA9" w:rsidRDefault="00F55F1C" w:rsidP="00A0600A">
            <w:pPr>
              <w:spacing w:line="360" w:lineRule="auto"/>
              <w:jc w:val="center"/>
              <w:rPr>
                <w:rFonts w:eastAsia="仿宋"/>
                <w:sz w:val="24"/>
              </w:rPr>
            </w:pPr>
            <w:proofErr w:type="spellStart"/>
            <w:r w:rsidRPr="00457BA9">
              <w:rPr>
                <w:rFonts w:eastAsia="仿宋"/>
                <w:sz w:val="24"/>
              </w:rPr>
              <w:t>Sb</w:t>
            </w:r>
            <w:proofErr w:type="spellEnd"/>
          </w:p>
        </w:tc>
        <w:tc>
          <w:tcPr>
            <w:tcW w:w="2197" w:type="pct"/>
          </w:tcPr>
          <w:p w:rsidR="00F55F1C" w:rsidRPr="00457BA9" w:rsidRDefault="00F55F1C" w:rsidP="00A0600A">
            <w:pPr>
              <w:adjustRightInd w:val="0"/>
              <w:snapToGrid w:val="0"/>
              <w:jc w:val="center"/>
              <w:rPr>
                <w:rFonts w:eastAsia="仿宋"/>
                <w:sz w:val="22"/>
                <w:szCs w:val="22"/>
                <w:lang w:val="en-GB" w:bidi="pa-IN"/>
              </w:rPr>
            </w:pPr>
            <w:r w:rsidRPr="00457BA9">
              <w:rPr>
                <w:rFonts w:eastAsia="仿宋"/>
                <w:bCs/>
                <w:sz w:val="24"/>
              </w:rPr>
              <w:t>90μg/day</w:t>
            </w:r>
          </w:p>
        </w:tc>
      </w:tr>
      <w:tr w:rsidR="00F55F1C" w:rsidRPr="00457BA9" w:rsidTr="00A0600A">
        <w:tc>
          <w:tcPr>
            <w:tcW w:w="2803" w:type="pct"/>
          </w:tcPr>
          <w:p w:rsidR="00F55F1C" w:rsidRPr="00457BA9" w:rsidRDefault="00F55F1C" w:rsidP="00A0600A">
            <w:pPr>
              <w:spacing w:line="360" w:lineRule="auto"/>
              <w:jc w:val="center"/>
              <w:rPr>
                <w:rFonts w:eastAsia="仿宋"/>
                <w:sz w:val="24"/>
              </w:rPr>
            </w:pPr>
            <w:r w:rsidRPr="00457BA9">
              <w:rPr>
                <w:rFonts w:eastAsia="仿宋"/>
                <w:sz w:val="24"/>
              </w:rPr>
              <w:t>Ba</w:t>
            </w:r>
          </w:p>
        </w:tc>
        <w:tc>
          <w:tcPr>
            <w:tcW w:w="2197" w:type="pct"/>
          </w:tcPr>
          <w:p w:rsidR="00F55F1C" w:rsidRPr="00457BA9" w:rsidRDefault="00F55F1C" w:rsidP="00A0600A">
            <w:pPr>
              <w:spacing w:line="360" w:lineRule="auto"/>
              <w:jc w:val="center"/>
              <w:rPr>
                <w:rFonts w:eastAsia="仿宋"/>
                <w:sz w:val="24"/>
              </w:rPr>
            </w:pPr>
            <w:r w:rsidRPr="00457BA9">
              <w:rPr>
                <w:rFonts w:eastAsia="仿宋"/>
                <w:sz w:val="24"/>
              </w:rPr>
              <w:t>700</w:t>
            </w:r>
            <w:r w:rsidRPr="00457BA9">
              <w:rPr>
                <w:rFonts w:eastAsia="仿宋"/>
                <w:bCs/>
                <w:sz w:val="24"/>
              </w:rPr>
              <w:t>μg/day</w:t>
            </w:r>
          </w:p>
        </w:tc>
      </w:tr>
      <w:tr w:rsidR="00F55F1C" w:rsidRPr="00457BA9" w:rsidTr="00A0600A">
        <w:tc>
          <w:tcPr>
            <w:tcW w:w="2803" w:type="pct"/>
          </w:tcPr>
          <w:p w:rsidR="00F55F1C" w:rsidRPr="00457BA9" w:rsidRDefault="00F55F1C" w:rsidP="00A0600A">
            <w:pPr>
              <w:spacing w:line="360" w:lineRule="auto"/>
              <w:jc w:val="center"/>
              <w:rPr>
                <w:rFonts w:eastAsia="仿宋"/>
                <w:sz w:val="24"/>
              </w:rPr>
            </w:pPr>
            <w:r w:rsidRPr="00457BA9">
              <w:rPr>
                <w:rFonts w:eastAsia="仿宋"/>
                <w:sz w:val="24"/>
              </w:rPr>
              <w:t>Fe</w:t>
            </w:r>
          </w:p>
        </w:tc>
        <w:tc>
          <w:tcPr>
            <w:tcW w:w="2197" w:type="pct"/>
          </w:tcPr>
          <w:p w:rsidR="00F55F1C" w:rsidRPr="00457BA9" w:rsidRDefault="00F55F1C" w:rsidP="00A0600A">
            <w:pPr>
              <w:spacing w:line="360" w:lineRule="auto"/>
              <w:jc w:val="center"/>
              <w:rPr>
                <w:rFonts w:eastAsia="仿宋"/>
                <w:sz w:val="24"/>
              </w:rPr>
            </w:pPr>
            <w:r w:rsidRPr="00457BA9">
              <w:rPr>
                <w:rFonts w:eastAsia="仿宋"/>
                <w:bCs/>
                <w:sz w:val="24"/>
              </w:rPr>
              <w:t>1300μg/day</w:t>
            </w:r>
          </w:p>
        </w:tc>
      </w:tr>
      <w:tr w:rsidR="00F55F1C" w:rsidRPr="00457BA9" w:rsidTr="00A0600A">
        <w:tc>
          <w:tcPr>
            <w:tcW w:w="2803" w:type="pct"/>
          </w:tcPr>
          <w:p w:rsidR="00F55F1C" w:rsidRPr="00457BA9" w:rsidRDefault="00F55F1C" w:rsidP="00A0600A">
            <w:pPr>
              <w:spacing w:line="360" w:lineRule="auto"/>
              <w:jc w:val="center"/>
              <w:rPr>
                <w:rFonts w:eastAsia="仿宋"/>
                <w:sz w:val="24"/>
              </w:rPr>
            </w:pPr>
            <w:r w:rsidRPr="00457BA9">
              <w:rPr>
                <w:rFonts w:eastAsia="仿宋"/>
                <w:sz w:val="24"/>
              </w:rPr>
              <w:t>Zn</w:t>
            </w:r>
          </w:p>
        </w:tc>
        <w:tc>
          <w:tcPr>
            <w:tcW w:w="2197" w:type="pct"/>
          </w:tcPr>
          <w:p w:rsidR="00F55F1C" w:rsidRPr="00457BA9" w:rsidRDefault="00F55F1C" w:rsidP="00A0600A">
            <w:pPr>
              <w:spacing w:line="360" w:lineRule="auto"/>
              <w:jc w:val="center"/>
              <w:rPr>
                <w:rFonts w:eastAsia="仿宋"/>
                <w:sz w:val="24"/>
              </w:rPr>
            </w:pPr>
            <w:r w:rsidRPr="00457BA9">
              <w:rPr>
                <w:rFonts w:eastAsia="仿宋"/>
                <w:bCs/>
                <w:sz w:val="24"/>
              </w:rPr>
              <w:t>1300μg/day</w:t>
            </w:r>
          </w:p>
        </w:tc>
      </w:tr>
      <w:tr w:rsidR="00F55F1C" w:rsidRPr="00457BA9" w:rsidTr="00A0600A">
        <w:trPr>
          <w:trHeight w:val="236"/>
        </w:trPr>
        <w:tc>
          <w:tcPr>
            <w:tcW w:w="2803" w:type="pct"/>
          </w:tcPr>
          <w:p w:rsidR="00F55F1C" w:rsidRPr="00457BA9" w:rsidRDefault="00F55F1C" w:rsidP="00A0600A">
            <w:pPr>
              <w:spacing w:line="360" w:lineRule="auto"/>
              <w:jc w:val="center"/>
              <w:rPr>
                <w:rFonts w:eastAsia="仿宋"/>
                <w:sz w:val="24"/>
              </w:rPr>
            </w:pPr>
            <w:r w:rsidRPr="00457BA9">
              <w:rPr>
                <w:rFonts w:eastAsia="仿宋"/>
                <w:sz w:val="24"/>
              </w:rPr>
              <w:t>Cr</w:t>
            </w:r>
          </w:p>
        </w:tc>
        <w:tc>
          <w:tcPr>
            <w:tcW w:w="2197" w:type="pct"/>
          </w:tcPr>
          <w:p w:rsidR="00F55F1C" w:rsidRPr="00457BA9" w:rsidRDefault="00F55F1C" w:rsidP="00A0600A">
            <w:pPr>
              <w:adjustRightInd w:val="0"/>
              <w:snapToGrid w:val="0"/>
              <w:jc w:val="center"/>
              <w:rPr>
                <w:rFonts w:eastAsia="仿宋"/>
                <w:sz w:val="22"/>
                <w:szCs w:val="22"/>
                <w:lang w:val="en-GB" w:bidi="pa-IN"/>
              </w:rPr>
            </w:pPr>
            <w:r w:rsidRPr="00457BA9">
              <w:rPr>
                <w:rFonts w:eastAsia="仿宋"/>
                <w:bCs/>
                <w:sz w:val="24"/>
              </w:rPr>
              <w:t>1100μg/day</w:t>
            </w:r>
          </w:p>
        </w:tc>
      </w:tr>
    </w:tbl>
    <w:p w:rsidR="00F55F1C" w:rsidRPr="003D55AA" w:rsidRDefault="00F55F1C" w:rsidP="00F55F1C">
      <w:pPr>
        <w:adjustRightInd w:val="0"/>
        <w:snapToGrid w:val="0"/>
        <w:spacing w:line="360" w:lineRule="auto"/>
        <w:rPr>
          <w:rFonts w:ascii="宋体"/>
          <w:sz w:val="24"/>
        </w:rPr>
      </w:pPr>
    </w:p>
    <w:p w:rsidR="00F55F1C" w:rsidRPr="00457BA9" w:rsidRDefault="00F55F1C" w:rsidP="00F55F1C">
      <w:pPr>
        <w:autoSpaceDE w:val="0"/>
        <w:autoSpaceDN w:val="0"/>
        <w:adjustRightInd w:val="0"/>
        <w:snapToGrid w:val="0"/>
        <w:spacing w:line="360" w:lineRule="auto"/>
        <w:ind w:firstLineChars="200" w:firstLine="640"/>
        <w:outlineLvl w:val="0"/>
        <w:rPr>
          <w:rFonts w:ascii="黑体" w:eastAsia="黑体" w:hAnsi="黑体" w:cs="华文仿宋"/>
          <w:bCs/>
          <w:kern w:val="0"/>
          <w:sz w:val="32"/>
          <w:szCs w:val="32"/>
        </w:rPr>
      </w:pPr>
      <w:r w:rsidRPr="00457BA9">
        <w:rPr>
          <w:rFonts w:ascii="黑体" w:eastAsia="黑体" w:hAnsi="黑体" w:cs="华文仿宋" w:hint="eastAsia"/>
          <w:bCs/>
          <w:kern w:val="0"/>
          <w:sz w:val="32"/>
          <w:szCs w:val="32"/>
        </w:rPr>
        <w:t>七、参考文献</w:t>
      </w:r>
    </w:p>
    <w:p w:rsidR="00F55F1C" w:rsidRPr="00457BA9" w:rsidRDefault="00F55F1C" w:rsidP="00F55F1C">
      <w:pPr>
        <w:pStyle w:val="a6"/>
        <w:spacing w:before="0" w:beforeAutospacing="0" w:after="0" w:afterAutospacing="0" w:line="360" w:lineRule="auto"/>
        <w:ind w:firstLineChars="200" w:firstLine="640"/>
        <w:jc w:val="both"/>
        <w:rPr>
          <w:rFonts w:ascii="Times New Roman" w:eastAsia="仿宋_GB2312" w:hAnsi="Times New Roman"/>
          <w:color w:val="auto"/>
          <w:sz w:val="32"/>
          <w:szCs w:val="32"/>
        </w:rPr>
      </w:pPr>
      <w:bookmarkStart w:id="0" w:name="_Toc308179857"/>
      <w:r w:rsidRPr="00457BA9">
        <w:rPr>
          <w:rFonts w:ascii="Times New Roman" w:eastAsia="仿宋_GB2312" w:hAnsi="Times New Roman"/>
          <w:color w:val="auto"/>
          <w:sz w:val="32"/>
          <w:szCs w:val="32"/>
        </w:rPr>
        <w:t>1</w:t>
      </w:r>
      <w:r w:rsidRPr="00457BA9">
        <w:rPr>
          <w:rFonts w:ascii="Times New Roman" w:eastAsia="仿宋_GB2312" w:hAnsi="Times New Roman"/>
          <w:color w:val="auto"/>
          <w:sz w:val="32"/>
          <w:szCs w:val="32"/>
        </w:rPr>
        <w:t>．《中华人民共和国药品管理法》（中华人民共和国主席令第</w:t>
      </w:r>
      <w:r w:rsidRPr="00457BA9">
        <w:rPr>
          <w:rFonts w:ascii="Times New Roman" w:eastAsia="仿宋_GB2312" w:hAnsi="Times New Roman"/>
          <w:color w:val="auto"/>
          <w:sz w:val="32"/>
          <w:szCs w:val="32"/>
        </w:rPr>
        <w:t>45</w:t>
      </w:r>
      <w:r w:rsidRPr="00457BA9">
        <w:rPr>
          <w:rFonts w:ascii="Times New Roman" w:eastAsia="仿宋_GB2312" w:hAnsi="Times New Roman"/>
          <w:color w:val="auto"/>
          <w:sz w:val="32"/>
          <w:szCs w:val="32"/>
        </w:rPr>
        <w:t>号）</w:t>
      </w:r>
      <w:bookmarkEnd w:id="0"/>
    </w:p>
    <w:p w:rsidR="00F55F1C" w:rsidRPr="00457BA9" w:rsidRDefault="00F55F1C" w:rsidP="00F55F1C">
      <w:pPr>
        <w:tabs>
          <w:tab w:val="left" w:pos="360"/>
          <w:tab w:val="left" w:pos="952"/>
          <w:tab w:val="left" w:pos="1078"/>
          <w:tab w:val="left" w:pos="1140"/>
        </w:tabs>
        <w:autoSpaceDE w:val="0"/>
        <w:autoSpaceDN w:val="0"/>
        <w:adjustRightInd w:val="0"/>
        <w:snapToGrid w:val="0"/>
        <w:spacing w:line="360" w:lineRule="auto"/>
        <w:ind w:firstLineChars="200" w:firstLine="640"/>
        <w:rPr>
          <w:rFonts w:eastAsia="仿宋_GB2312"/>
          <w:kern w:val="0"/>
          <w:sz w:val="32"/>
          <w:szCs w:val="32"/>
        </w:rPr>
      </w:pPr>
      <w:bookmarkStart w:id="1" w:name="_Toc308179858"/>
      <w:r w:rsidRPr="00457BA9">
        <w:rPr>
          <w:rFonts w:eastAsia="仿宋_GB2312"/>
          <w:kern w:val="0"/>
          <w:sz w:val="32"/>
          <w:szCs w:val="32"/>
        </w:rPr>
        <w:t>2</w:t>
      </w:r>
      <w:bookmarkEnd w:id="1"/>
      <w:r w:rsidRPr="00457BA9">
        <w:rPr>
          <w:rFonts w:eastAsia="仿宋_GB2312"/>
          <w:kern w:val="0"/>
          <w:sz w:val="32"/>
          <w:szCs w:val="32"/>
        </w:rPr>
        <w:t>．《药品管理法实施条例》（中华人民共和国国务院令第</w:t>
      </w:r>
      <w:r w:rsidRPr="00457BA9">
        <w:rPr>
          <w:rFonts w:eastAsia="仿宋_GB2312"/>
          <w:kern w:val="0"/>
          <w:sz w:val="32"/>
          <w:szCs w:val="32"/>
        </w:rPr>
        <w:t>360</w:t>
      </w:r>
      <w:r w:rsidRPr="00457BA9">
        <w:rPr>
          <w:rFonts w:eastAsia="仿宋_GB2312"/>
          <w:kern w:val="0"/>
          <w:sz w:val="32"/>
          <w:szCs w:val="32"/>
        </w:rPr>
        <w:t>号）</w:t>
      </w:r>
    </w:p>
    <w:p w:rsidR="00F55F1C" w:rsidRPr="00457BA9" w:rsidRDefault="00F55F1C" w:rsidP="00F55F1C">
      <w:pPr>
        <w:tabs>
          <w:tab w:val="left" w:pos="360"/>
          <w:tab w:val="left" w:pos="952"/>
          <w:tab w:val="left" w:pos="1078"/>
          <w:tab w:val="left" w:pos="1140"/>
        </w:tabs>
        <w:autoSpaceDE w:val="0"/>
        <w:autoSpaceDN w:val="0"/>
        <w:adjustRightInd w:val="0"/>
        <w:snapToGrid w:val="0"/>
        <w:spacing w:line="360" w:lineRule="auto"/>
        <w:ind w:firstLineChars="200" w:firstLine="640"/>
        <w:rPr>
          <w:rFonts w:eastAsia="仿宋_GB2312"/>
          <w:kern w:val="0"/>
          <w:sz w:val="32"/>
          <w:szCs w:val="32"/>
        </w:rPr>
      </w:pPr>
      <w:bookmarkStart w:id="2" w:name="_Toc308179859"/>
      <w:r w:rsidRPr="00457BA9">
        <w:rPr>
          <w:rFonts w:eastAsia="仿宋_GB2312"/>
          <w:kern w:val="0"/>
          <w:sz w:val="32"/>
          <w:szCs w:val="32"/>
        </w:rPr>
        <w:lastRenderedPageBreak/>
        <w:t>3</w:t>
      </w:r>
      <w:r w:rsidRPr="00457BA9">
        <w:rPr>
          <w:rFonts w:eastAsia="仿宋_GB2312"/>
          <w:sz w:val="32"/>
          <w:szCs w:val="32"/>
        </w:rPr>
        <w:t>．</w:t>
      </w:r>
      <w:r w:rsidRPr="00457BA9">
        <w:rPr>
          <w:rFonts w:eastAsia="仿宋_GB2312"/>
          <w:kern w:val="0"/>
          <w:sz w:val="32"/>
          <w:szCs w:val="32"/>
        </w:rPr>
        <w:t>《直接接触药品的包装材料和容器管理办法》（国家食品药品监督管理局令第</w:t>
      </w:r>
      <w:r w:rsidRPr="00457BA9">
        <w:rPr>
          <w:rFonts w:eastAsia="仿宋_GB2312"/>
          <w:kern w:val="0"/>
          <w:sz w:val="32"/>
          <w:szCs w:val="32"/>
        </w:rPr>
        <w:t>13</w:t>
      </w:r>
      <w:r w:rsidRPr="00457BA9">
        <w:rPr>
          <w:rFonts w:eastAsia="仿宋_GB2312"/>
          <w:kern w:val="0"/>
          <w:sz w:val="32"/>
          <w:szCs w:val="32"/>
        </w:rPr>
        <w:t>号）</w:t>
      </w:r>
      <w:bookmarkEnd w:id="2"/>
    </w:p>
    <w:p w:rsidR="00F55F1C" w:rsidRPr="00457BA9" w:rsidRDefault="00F55F1C" w:rsidP="00F55F1C">
      <w:pPr>
        <w:tabs>
          <w:tab w:val="left" w:pos="360"/>
          <w:tab w:val="left" w:pos="952"/>
          <w:tab w:val="left" w:pos="1078"/>
          <w:tab w:val="left" w:pos="1140"/>
        </w:tabs>
        <w:autoSpaceDE w:val="0"/>
        <w:autoSpaceDN w:val="0"/>
        <w:adjustRightInd w:val="0"/>
        <w:snapToGrid w:val="0"/>
        <w:spacing w:line="360" w:lineRule="auto"/>
        <w:ind w:firstLineChars="200" w:firstLine="640"/>
        <w:rPr>
          <w:rFonts w:eastAsia="仿宋_GB2312"/>
          <w:sz w:val="32"/>
          <w:szCs w:val="32"/>
        </w:rPr>
      </w:pPr>
      <w:r w:rsidRPr="00457BA9">
        <w:rPr>
          <w:rFonts w:eastAsia="仿宋_GB2312"/>
          <w:kern w:val="0"/>
          <w:sz w:val="32"/>
          <w:szCs w:val="32"/>
        </w:rPr>
        <w:t>4</w:t>
      </w:r>
      <w:r w:rsidRPr="00457BA9">
        <w:rPr>
          <w:rFonts w:eastAsia="仿宋_GB2312"/>
          <w:sz w:val="32"/>
          <w:szCs w:val="32"/>
        </w:rPr>
        <w:t>．</w:t>
      </w:r>
      <w:r w:rsidRPr="00457BA9">
        <w:rPr>
          <w:rFonts w:eastAsia="仿宋_GB2312"/>
          <w:kern w:val="0"/>
          <w:sz w:val="32"/>
          <w:szCs w:val="32"/>
        </w:rPr>
        <w:t>药用</w:t>
      </w:r>
      <w:r w:rsidRPr="00457BA9">
        <w:rPr>
          <w:rFonts w:eastAsia="仿宋_GB2312"/>
          <w:sz w:val="32"/>
          <w:szCs w:val="32"/>
        </w:rPr>
        <w:t>玻璃材料和容器指导原则（征求意见稿）</w:t>
      </w:r>
    </w:p>
    <w:p w:rsidR="00F55F1C" w:rsidRPr="00457BA9" w:rsidRDefault="00F55F1C" w:rsidP="00F55F1C">
      <w:pPr>
        <w:tabs>
          <w:tab w:val="left" w:pos="360"/>
          <w:tab w:val="left" w:pos="952"/>
          <w:tab w:val="left" w:pos="1078"/>
          <w:tab w:val="left" w:pos="1140"/>
        </w:tabs>
        <w:autoSpaceDE w:val="0"/>
        <w:autoSpaceDN w:val="0"/>
        <w:adjustRightInd w:val="0"/>
        <w:snapToGrid w:val="0"/>
        <w:spacing w:line="360" w:lineRule="auto"/>
        <w:ind w:firstLineChars="200" w:firstLine="640"/>
        <w:rPr>
          <w:rFonts w:eastAsia="仿宋_GB2312"/>
          <w:sz w:val="32"/>
          <w:szCs w:val="32"/>
        </w:rPr>
      </w:pPr>
      <w:r w:rsidRPr="00457BA9">
        <w:rPr>
          <w:rFonts w:eastAsia="仿宋_GB2312"/>
          <w:sz w:val="32"/>
          <w:szCs w:val="32"/>
        </w:rPr>
        <w:t>5</w:t>
      </w:r>
      <w:r w:rsidRPr="00457BA9">
        <w:rPr>
          <w:rFonts w:eastAsia="仿宋_GB2312"/>
          <w:sz w:val="32"/>
          <w:szCs w:val="32"/>
        </w:rPr>
        <w:t>．美国药典</w:t>
      </w:r>
      <w:r w:rsidRPr="00457BA9">
        <w:rPr>
          <w:rFonts w:eastAsia="仿宋_GB2312"/>
          <w:sz w:val="32"/>
          <w:szCs w:val="32"/>
        </w:rPr>
        <w:t>&lt;1660&gt;</w:t>
      </w:r>
      <w:r w:rsidRPr="00457BA9">
        <w:rPr>
          <w:rFonts w:eastAsia="仿宋_GB2312"/>
          <w:sz w:val="32"/>
          <w:szCs w:val="32"/>
        </w:rPr>
        <w:t>玻璃内表面耐受性评估指南（征求意见稿）</w:t>
      </w:r>
    </w:p>
    <w:p w:rsidR="00F55F1C" w:rsidRPr="00457BA9" w:rsidRDefault="00F55F1C" w:rsidP="00F55F1C">
      <w:pPr>
        <w:tabs>
          <w:tab w:val="left" w:pos="360"/>
          <w:tab w:val="left" w:pos="952"/>
          <w:tab w:val="left" w:pos="1078"/>
          <w:tab w:val="left" w:pos="1140"/>
        </w:tabs>
        <w:autoSpaceDE w:val="0"/>
        <w:autoSpaceDN w:val="0"/>
        <w:adjustRightInd w:val="0"/>
        <w:snapToGrid w:val="0"/>
        <w:spacing w:line="360" w:lineRule="auto"/>
        <w:ind w:firstLineChars="200" w:firstLine="640"/>
        <w:rPr>
          <w:rFonts w:eastAsia="仿宋_GB2312"/>
          <w:kern w:val="0"/>
          <w:sz w:val="32"/>
          <w:szCs w:val="32"/>
        </w:rPr>
      </w:pPr>
      <w:r w:rsidRPr="00457BA9">
        <w:rPr>
          <w:rFonts w:eastAsia="仿宋_GB2312"/>
          <w:sz w:val="32"/>
          <w:szCs w:val="32"/>
        </w:rPr>
        <w:t>6</w:t>
      </w:r>
      <w:r w:rsidRPr="00457BA9">
        <w:rPr>
          <w:rFonts w:eastAsia="仿宋_GB2312"/>
          <w:sz w:val="32"/>
          <w:szCs w:val="32"/>
        </w:rPr>
        <w:t>．</w:t>
      </w:r>
      <w:r w:rsidRPr="00457BA9">
        <w:rPr>
          <w:rFonts w:eastAsia="仿宋_GB2312"/>
          <w:bCs/>
          <w:kern w:val="0"/>
          <w:sz w:val="32"/>
          <w:szCs w:val="32"/>
        </w:rPr>
        <w:t>化学药品注射剂与塑料包装材料相容性研究技术指导原则（试行）（</w:t>
      </w:r>
      <w:r w:rsidRPr="00457BA9">
        <w:rPr>
          <w:rFonts w:eastAsia="仿宋_GB2312"/>
          <w:kern w:val="0"/>
          <w:sz w:val="32"/>
          <w:szCs w:val="32"/>
        </w:rPr>
        <w:t>国</w:t>
      </w:r>
      <w:proofErr w:type="gramStart"/>
      <w:r w:rsidRPr="00457BA9">
        <w:rPr>
          <w:rFonts w:eastAsia="仿宋_GB2312"/>
          <w:kern w:val="0"/>
          <w:sz w:val="32"/>
          <w:szCs w:val="32"/>
        </w:rPr>
        <w:t>食药监注〔</w:t>
      </w:r>
      <w:r w:rsidRPr="00457BA9">
        <w:rPr>
          <w:rFonts w:eastAsia="仿宋_GB2312"/>
          <w:kern w:val="0"/>
          <w:sz w:val="32"/>
          <w:szCs w:val="32"/>
        </w:rPr>
        <w:t>2012</w:t>
      </w:r>
      <w:r w:rsidRPr="00457BA9">
        <w:rPr>
          <w:rFonts w:eastAsia="仿宋_GB2312"/>
          <w:kern w:val="0"/>
          <w:sz w:val="32"/>
          <w:szCs w:val="32"/>
        </w:rPr>
        <w:t>〕</w:t>
      </w:r>
      <w:proofErr w:type="gramEnd"/>
      <w:r w:rsidRPr="00457BA9">
        <w:rPr>
          <w:rFonts w:eastAsia="仿宋_GB2312"/>
          <w:kern w:val="0"/>
          <w:sz w:val="32"/>
          <w:szCs w:val="32"/>
        </w:rPr>
        <w:t>267</w:t>
      </w:r>
      <w:r w:rsidRPr="00457BA9">
        <w:rPr>
          <w:rFonts w:eastAsia="仿宋_GB2312"/>
          <w:kern w:val="0"/>
          <w:sz w:val="32"/>
          <w:szCs w:val="32"/>
        </w:rPr>
        <w:t>号）</w:t>
      </w:r>
    </w:p>
    <w:p w:rsidR="00F55F1C" w:rsidRPr="00457BA9" w:rsidRDefault="00F55F1C" w:rsidP="00F55F1C">
      <w:pPr>
        <w:tabs>
          <w:tab w:val="left" w:pos="360"/>
          <w:tab w:val="left" w:pos="952"/>
          <w:tab w:val="left" w:pos="1078"/>
          <w:tab w:val="left" w:pos="1140"/>
        </w:tabs>
        <w:autoSpaceDE w:val="0"/>
        <w:autoSpaceDN w:val="0"/>
        <w:adjustRightInd w:val="0"/>
        <w:snapToGrid w:val="0"/>
        <w:spacing w:line="360" w:lineRule="auto"/>
        <w:ind w:firstLineChars="200" w:firstLine="640"/>
        <w:rPr>
          <w:rFonts w:eastAsia="仿宋_GB2312"/>
          <w:sz w:val="32"/>
          <w:szCs w:val="32"/>
        </w:rPr>
      </w:pPr>
      <w:r w:rsidRPr="00457BA9">
        <w:rPr>
          <w:rFonts w:eastAsia="仿宋_GB2312"/>
          <w:kern w:val="0"/>
          <w:sz w:val="32"/>
          <w:szCs w:val="32"/>
        </w:rPr>
        <w:t>7</w:t>
      </w:r>
      <w:r w:rsidRPr="00457BA9">
        <w:rPr>
          <w:rFonts w:eastAsia="仿宋_GB2312"/>
          <w:kern w:val="0"/>
          <w:sz w:val="32"/>
          <w:szCs w:val="32"/>
        </w:rPr>
        <w:t>．</w:t>
      </w:r>
      <w:proofErr w:type="gramStart"/>
      <w:r w:rsidRPr="00457BA9">
        <w:rPr>
          <w:rFonts w:eastAsia="仿宋_GB2312"/>
          <w:kern w:val="0"/>
          <w:sz w:val="32"/>
          <w:szCs w:val="32"/>
        </w:rPr>
        <w:t>ICH</w:t>
      </w:r>
      <w:r w:rsidRPr="00457BA9">
        <w:rPr>
          <w:rFonts w:eastAsia="仿宋_GB2312"/>
          <w:sz w:val="32"/>
          <w:szCs w:val="32"/>
        </w:rPr>
        <w:t xml:space="preserve">  Q3D</w:t>
      </w:r>
      <w:proofErr w:type="gramEnd"/>
      <w:r w:rsidRPr="00457BA9">
        <w:rPr>
          <w:rFonts w:eastAsia="仿宋_GB2312"/>
          <w:sz w:val="32"/>
          <w:szCs w:val="32"/>
        </w:rPr>
        <w:t xml:space="preserve"> Guideline for Elemental Impurities.</w:t>
      </w:r>
    </w:p>
    <w:p w:rsidR="00F55F1C" w:rsidRPr="00457BA9" w:rsidRDefault="00F55F1C" w:rsidP="00F55F1C">
      <w:pPr>
        <w:tabs>
          <w:tab w:val="left" w:pos="360"/>
          <w:tab w:val="left" w:pos="952"/>
          <w:tab w:val="left" w:pos="1078"/>
          <w:tab w:val="left" w:pos="1140"/>
        </w:tabs>
        <w:autoSpaceDE w:val="0"/>
        <w:autoSpaceDN w:val="0"/>
        <w:adjustRightInd w:val="0"/>
        <w:snapToGrid w:val="0"/>
        <w:spacing w:line="360" w:lineRule="auto"/>
        <w:ind w:firstLineChars="200" w:firstLine="640"/>
        <w:rPr>
          <w:rFonts w:eastAsia="仿宋_GB2312"/>
          <w:sz w:val="32"/>
          <w:szCs w:val="32"/>
        </w:rPr>
      </w:pPr>
      <w:r w:rsidRPr="00457BA9">
        <w:rPr>
          <w:rFonts w:eastAsia="仿宋_GB2312"/>
          <w:sz w:val="32"/>
          <w:szCs w:val="32"/>
        </w:rPr>
        <w:t>8</w:t>
      </w:r>
      <w:r w:rsidRPr="00457BA9">
        <w:rPr>
          <w:rFonts w:eastAsia="仿宋_GB2312"/>
          <w:sz w:val="32"/>
          <w:szCs w:val="32"/>
        </w:rPr>
        <w:t>．</w:t>
      </w:r>
      <w:proofErr w:type="gramStart"/>
      <w:r w:rsidRPr="00457BA9">
        <w:rPr>
          <w:rFonts w:eastAsia="仿宋_GB2312"/>
          <w:sz w:val="32"/>
          <w:szCs w:val="32"/>
        </w:rPr>
        <w:t>Identification and Classification of Nonconformities in Molded and Tubular Glass Containers for Pharmaceutical Manufacturing.</w:t>
      </w:r>
      <w:proofErr w:type="gramEnd"/>
      <w:r w:rsidRPr="00457BA9">
        <w:rPr>
          <w:rFonts w:eastAsia="仿宋_GB2312"/>
          <w:sz w:val="32"/>
          <w:szCs w:val="32"/>
        </w:rPr>
        <w:t xml:space="preserve"> </w:t>
      </w:r>
    </w:p>
    <w:p w:rsidR="009E47DB" w:rsidRPr="00E67B64" w:rsidRDefault="00F55F1C" w:rsidP="00E67B64">
      <w:pPr>
        <w:tabs>
          <w:tab w:val="left" w:pos="360"/>
          <w:tab w:val="left" w:pos="952"/>
          <w:tab w:val="left" w:pos="1078"/>
          <w:tab w:val="left" w:pos="1140"/>
        </w:tabs>
        <w:autoSpaceDE w:val="0"/>
        <w:autoSpaceDN w:val="0"/>
        <w:adjustRightInd w:val="0"/>
        <w:snapToGrid w:val="0"/>
        <w:spacing w:line="360" w:lineRule="auto"/>
        <w:ind w:firstLineChars="200" w:firstLine="640"/>
        <w:rPr>
          <w:rFonts w:eastAsia="仿宋_GB2312"/>
          <w:sz w:val="32"/>
          <w:szCs w:val="32"/>
        </w:rPr>
      </w:pPr>
      <w:r w:rsidRPr="00457BA9">
        <w:rPr>
          <w:rFonts w:eastAsia="仿宋_GB2312"/>
          <w:sz w:val="32"/>
          <w:szCs w:val="32"/>
        </w:rPr>
        <w:t>https://store.pda.org/ProductCatalog/Product.aspx?ID=2069</w:t>
      </w:r>
      <w:bookmarkStart w:id="3" w:name="_GoBack"/>
      <w:bookmarkEnd w:id="3"/>
    </w:p>
    <w:sectPr w:rsidR="009E47DB" w:rsidRPr="00E67B64" w:rsidSect="00457BA9">
      <w:footerReference w:type="even" r:id="rId9"/>
      <w:footerReference w:type="default" r:id="rId10"/>
      <w:pgSz w:w="11906" w:h="16838"/>
      <w:pgMar w:top="1758" w:right="1531" w:bottom="158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E9B" w:rsidRDefault="00A22E9B" w:rsidP="00F55F1C">
      <w:r>
        <w:separator/>
      </w:r>
    </w:p>
  </w:endnote>
  <w:endnote w:type="continuationSeparator" w:id="0">
    <w:p w:rsidR="00A22E9B" w:rsidRDefault="00A22E9B" w:rsidP="00F5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93A" w:rsidRPr="00457BA9" w:rsidRDefault="00600F35">
    <w:pPr>
      <w:pStyle w:val="a4"/>
      <w:rPr>
        <w:sz w:val="28"/>
        <w:szCs w:val="28"/>
      </w:rPr>
    </w:pPr>
    <w:r w:rsidRPr="00457BA9">
      <w:rPr>
        <w:rFonts w:hint="eastAsia"/>
        <w:color w:val="FFFFFF"/>
        <w:sz w:val="28"/>
        <w:szCs w:val="28"/>
      </w:rPr>
      <w:t>—</w:t>
    </w:r>
    <w:r w:rsidRPr="00457BA9">
      <w:rPr>
        <w:rFonts w:hint="eastAsia"/>
        <w:sz w:val="28"/>
        <w:szCs w:val="28"/>
      </w:rPr>
      <w:t>—</w:t>
    </w:r>
    <w:r w:rsidRPr="00457BA9">
      <w:rPr>
        <w:rFonts w:hint="eastAsia"/>
        <w:sz w:val="28"/>
        <w:szCs w:val="28"/>
      </w:rPr>
      <w:t xml:space="preserve"> </w:t>
    </w:r>
    <w:r w:rsidRPr="00457BA9">
      <w:rPr>
        <w:sz w:val="28"/>
        <w:szCs w:val="28"/>
      </w:rPr>
      <w:fldChar w:fldCharType="begin"/>
    </w:r>
    <w:r w:rsidRPr="00457BA9">
      <w:rPr>
        <w:sz w:val="28"/>
        <w:szCs w:val="28"/>
      </w:rPr>
      <w:instrText>PAGE   \* MERGEFORMAT</w:instrText>
    </w:r>
    <w:r w:rsidRPr="00457BA9">
      <w:rPr>
        <w:sz w:val="28"/>
        <w:szCs w:val="28"/>
      </w:rPr>
      <w:fldChar w:fldCharType="separate"/>
    </w:r>
    <w:r w:rsidRPr="00CE4E67">
      <w:rPr>
        <w:noProof/>
        <w:sz w:val="28"/>
        <w:szCs w:val="28"/>
        <w:lang w:val="zh-CN"/>
      </w:rPr>
      <w:t>24</w:t>
    </w:r>
    <w:r w:rsidRPr="00457BA9">
      <w:rPr>
        <w:sz w:val="28"/>
        <w:szCs w:val="28"/>
      </w:rPr>
      <w:fldChar w:fldCharType="end"/>
    </w:r>
    <w:r w:rsidRPr="00457BA9">
      <w:rPr>
        <w:rFonts w:hint="eastAsia"/>
        <w:sz w:val="28"/>
        <w:szCs w:val="28"/>
      </w:rPr>
      <w:t xml:space="preserve"> </w:t>
    </w:r>
    <w:r w:rsidRPr="00457BA9">
      <w:rPr>
        <w:rFonts w:hint="eastAsia"/>
        <w:sz w:val="28"/>
        <w:szCs w:val="28"/>
      </w:rPr>
      <w:t>—</w:t>
    </w:r>
  </w:p>
  <w:p w:rsidR="00A73EB3" w:rsidRDefault="00A22E9B" w:rsidP="00457BA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93A" w:rsidRPr="00457BA9" w:rsidRDefault="00600F35" w:rsidP="00457BA9">
    <w:pPr>
      <w:pStyle w:val="a4"/>
      <w:wordWrap w:val="0"/>
      <w:jc w:val="right"/>
      <w:rPr>
        <w:color w:val="FFFFFF"/>
        <w:sz w:val="28"/>
        <w:szCs w:val="28"/>
      </w:rPr>
    </w:pPr>
    <w:r w:rsidRPr="00457BA9">
      <w:rPr>
        <w:rFonts w:hint="eastAsia"/>
        <w:sz w:val="28"/>
        <w:szCs w:val="28"/>
      </w:rPr>
      <w:t>—</w:t>
    </w:r>
    <w:r w:rsidRPr="00457BA9">
      <w:rPr>
        <w:rFonts w:hint="eastAsia"/>
        <w:sz w:val="28"/>
        <w:szCs w:val="28"/>
      </w:rPr>
      <w:t xml:space="preserve"> </w:t>
    </w:r>
    <w:r w:rsidRPr="00457BA9">
      <w:rPr>
        <w:sz w:val="28"/>
        <w:szCs w:val="28"/>
      </w:rPr>
      <w:fldChar w:fldCharType="begin"/>
    </w:r>
    <w:r w:rsidRPr="00457BA9">
      <w:rPr>
        <w:sz w:val="28"/>
        <w:szCs w:val="28"/>
      </w:rPr>
      <w:instrText>PAGE   \* MERGEFORMAT</w:instrText>
    </w:r>
    <w:r w:rsidRPr="00457BA9">
      <w:rPr>
        <w:sz w:val="28"/>
        <w:szCs w:val="28"/>
      </w:rPr>
      <w:fldChar w:fldCharType="separate"/>
    </w:r>
    <w:r w:rsidR="00E67B64" w:rsidRPr="00E67B64">
      <w:rPr>
        <w:noProof/>
        <w:sz w:val="28"/>
        <w:szCs w:val="28"/>
        <w:lang w:val="zh-CN"/>
      </w:rPr>
      <w:t>1</w:t>
    </w:r>
    <w:r w:rsidRPr="00457BA9">
      <w:rPr>
        <w:sz w:val="28"/>
        <w:szCs w:val="28"/>
      </w:rPr>
      <w:fldChar w:fldCharType="end"/>
    </w:r>
    <w:r w:rsidRPr="00457BA9">
      <w:rPr>
        <w:rFonts w:hint="eastAsia"/>
        <w:sz w:val="28"/>
        <w:szCs w:val="28"/>
      </w:rPr>
      <w:t xml:space="preserve"> </w:t>
    </w:r>
    <w:r w:rsidRPr="00457BA9">
      <w:rPr>
        <w:rFonts w:hint="eastAsia"/>
        <w:sz w:val="28"/>
        <w:szCs w:val="28"/>
      </w:rPr>
      <w:t>—</w:t>
    </w:r>
    <w:r w:rsidRPr="00457BA9">
      <w:rPr>
        <w:rFonts w:hint="eastAsia"/>
        <w:color w:val="FFFFFF"/>
        <w:sz w:val="28"/>
        <w:szCs w:val="28"/>
      </w:rPr>
      <w:t>—</w:t>
    </w:r>
  </w:p>
  <w:p w:rsidR="00A73EB3" w:rsidRDefault="00A22E9B" w:rsidP="00457BA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E9B" w:rsidRDefault="00A22E9B" w:rsidP="00F55F1C">
      <w:r>
        <w:separator/>
      </w:r>
    </w:p>
  </w:footnote>
  <w:footnote w:type="continuationSeparator" w:id="0">
    <w:p w:rsidR="00A22E9B" w:rsidRDefault="00A22E9B" w:rsidP="00F55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244"/>
    <w:rsid w:val="000D1D17"/>
    <w:rsid w:val="005051D6"/>
    <w:rsid w:val="00600F35"/>
    <w:rsid w:val="00764244"/>
    <w:rsid w:val="009E47DB"/>
    <w:rsid w:val="00A22E9B"/>
    <w:rsid w:val="00E67B64"/>
    <w:rsid w:val="00F55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F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5F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55F1C"/>
    <w:rPr>
      <w:sz w:val="18"/>
      <w:szCs w:val="18"/>
    </w:rPr>
  </w:style>
  <w:style w:type="paragraph" w:styleId="a4">
    <w:name w:val="footer"/>
    <w:basedOn w:val="a"/>
    <w:link w:val="Char0"/>
    <w:uiPriority w:val="99"/>
    <w:unhideWhenUsed/>
    <w:rsid w:val="00F55F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55F1C"/>
    <w:rPr>
      <w:sz w:val="18"/>
      <w:szCs w:val="18"/>
    </w:rPr>
  </w:style>
  <w:style w:type="paragraph" w:styleId="a5">
    <w:name w:val="Body Text"/>
    <w:basedOn w:val="a"/>
    <w:link w:val="Char1"/>
    <w:rsid w:val="00F55F1C"/>
    <w:pPr>
      <w:spacing w:line="480" w:lineRule="auto"/>
      <w:ind w:firstLine="720"/>
      <w:jc w:val="left"/>
    </w:pPr>
    <w:rPr>
      <w:kern w:val="0"/>
      <w:sz w:val="24"/>
      <w:lang w:val="x-none" w:eastAsia="en-US"/>
    </w:rPr>
  </w:style>
  <w:style w:type="character" w:customStyle="1" w:styleId="Char1">
    <w:name w:val="正文文本 Char"/>
    <w:basedOn w:val="a0"/>
    <w:link w:val="a5"/>
    <w:rsid w:val="00F55F1C"/>
    <w:rPr>
      <w:rFonts w:ascii="Times New Roman" w:eastAsia="宋体" w:hAnsi="Times New Roman" w:cs="Times New Roman"/>
      <w:kern w:val="0"/>
      <w:sz w:val="24"/>
      <w:szCs w:val="24"/>
      <w:lang w:val="x-none" w:eastAsia="en-US"/>
    </w:rPr>
  </w:style>
  <w:style w:type="paragraph" w:styleId="a6">
    <w:name w:val="Normal (Web)"/>
    <w:basedOn w:val="a"/>
    <w:rsid w:val="00F55F1C"/>
    <w:pPr>
      <w:widowControl/>
      <w:spacing w:before="100" w:beforeAutospacing="1" w:after="100" w:afterAutospacing="1" w:line="384" w:lineRule="auto"/>
      <w:jc w:val="left"/>
    </w:pPr>
    <w:rPr>
      <w:rFonts w:ascii="宋体" w:hAnsi="宋体"/>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F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5F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55F1C"/>
    <w:rPr>
      <w:sz w:val="18"/>
      <w:szCs w:val="18"/>
    </w:rPr>
  </w:style>
  <w:style w:type="paragraph" w:styleId="a4">
    <w:name w:val="footer"/>
    <w:basedOn w:val="a"/>
    <w:link w:val="Char0"/>
    <w:uiPriority w:val="99"/>
    <w:unhideWhenUsed/>
    <w:rsid w:val="00F55F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55F1C"/>
    <w:rPr>
      <w:sz w:val="18"/>
      <w:szCs w:val="18"/>
    </w:rPr>
  </w:style>
  <w:style w:type="paragraph" w:styleId="a5">
    <w:name w:val="Body Text"/>
    <w:basedOn w:val="a"/>
    <w:link w:val="Char1"/>
    <w:rsid w:val="00F55F1C"/>
    <w:pPr>
      <w:spacing w:line="480" w:lineRule="auto"/>
      <w:ind w:firstLine="720"/>
      <w:jc w:val="left"/>
    </w:pPr>
    <w:rPr>
      <w:kern w:val="0"/>
      <w:sz w:val="24"/>
      <w:lang w:val="x-none" w:eastAsia="en-US"/>
    </w:rPr>
  </w:style>
  <w:style w:type="character" w:customStyle="1" w:styleId="Char1">
    <w:name w:val="正文文本 Char"/>
    <w:basedOn w:val="a0"/>
    <w:link w:val="a5"/>
    <w:rsid w:val="00F55F1C"/>
    <w:rPr>
      <w:rFonts w:ascii="Times New Roman" w:eastAsia="宋体" w:hAnsi="Times New Roman" w:cs="Times New Roman"/>
      <w:kern w:val="0"/>
      <w:sz w:val="24"/>
      <w:szCs w:val="24"/>
      <w:lang w:val="x-none" w:eastAsia="en-US"/>
    </w:rPr>
  </w:style>
  <w:style w:type="paragraph" w:styleId="a6">
    <w:name w:val="Normal (Web)"/>
    <w:basedOn w:val="a"/>
    <w:rsid w:val="00F55F1C"/>
    <w:pPr>
      <w:widowControl/>
      <w:spacing w:before="100" w:beforeAutospacing="1" w:after="100" w:afterAutospacing="1" w:line="384" w:lineRule="auto"/>
      <w:jc w:val="left"/>
    </w:pPr>
    <w:rPr>
      <w:rFonts w:ascii="宋体" w:hAnsi="宋体"/>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1495</Words>
  <Characters>8527</Characters>
  <Application>Microsoft Office Word</Application>
  <DocSecurity>0</DocSecurity>
  <Lines>71</Lines>
  <Paragraphs>20</Paragraphs>
  <ScaleCrop>false</ScaleCrop>
  <Company>CFDA</Company>
  <LinksUpToDate>false</LinksUpToDate>
  <CharactersWithSpaces>10002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张京梅</dc:creator>
  <cp:lastModifiedBy>张京梅</cp:lastModifiedBy>
  <cp:revision>3</cp:revision>
  <dcterms:created xsi:type="dcterms:W3CDTF">2015-08-05T00:28:00Z</dcterms:created>
  <dcterms:modified xsi:type="dcterms:W3CDTF">2015-08-05T00:29:00Z</dcterms:modified>
</cp:coreProperties>
</file>